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20B22" w14:textId="77777777" w:rsidR="00FA2526" w:rsidRPr="00E334E1" w:rsidRDefault="00FA2526" w:rsidP="00FA2526">
      <w:pPr>
        <w:autoSpaceDN w:val="0"/>
        <w:spacing w:after="0" w:line="240" w:lineRule="auto"/>
        <w:jc w:val="right"/>
        <w:rPr>
          <w:rFonts w:ascii="Times New Roman" w:hAnsi="Times New Roman" w:cs="Times New Roman"/>
          <w:sz w:val="28"/>
          <w:szCs w:val="20"/>
          <w:lang w:eastAsia="zh-CN"/>
        </w:rPr>
      </w:pPr>
      <w:r w:rsidRPr="00E334E1">
        <w:rPr>
          <w:rFonts w:ascii="Times New Roman" w:hAnsi="Times New Roman" w:cs="Times New Roman"/>
          <w:sz w:val="28"/>
          <w:szCs w:val="20"/>
          <w:lang w:eastAsia="zh-CN"/>
        </w:rPr>
        <w:t>ПРОЕКТ</w:t>
      </w:r>
    </w:p>
    <w:p w14:paraId="50B1BEFD" w14:textId="77777777" w:rsidR="00FA2526" w:rsidRPr="00E334E1" w:rsidRDefault="00FA2526" w:rsidP="00FA2526">
      <w:pPr>
        <w:widowControl w:val="0"/>
        <w:spacing w:after="0" w:line="240" w:lineRule="auto"/>
        <w:jc w:val="center"/>
        <w:outlineLvl w:val="0"/>
        <w:rPr>
          <w:rFonts w:ascii="Times New Roman" w:eastAsia="Calibri" w:hAnsi="Times New Roman" w:cs="Times New Roman"/>
          <w:b/>
          <w:bCs/>
          <w:sz w:val="32"/>
          <w:szCs w:val="32"/>
        </w:rPr>
      </w:pPr>
    </w:p>
    <w:p w14:paraId="4DF8CD1F" w14:textId="77777777" w:rsidR="00FA2526" w:rsidRPr="00E334E1" w:rsidRDefault="00FA2526" w:rsidP="00FA2526">
      <w:pPr>
        <w:widowControl w:val="0"/>
        <w:spacing w:after="0" w:line="240" w:lineRule="auto"/>
        <w:jc w:val="center"/>
        <w:outlineLvl w:val="0"/>
        <w:rPr>
          <w:rFonts w:ascii="Times New Roman" w:eastAsia="Calibri" w:hAnsi="Times New Roman" w:cs="Times New Roman"/>
          <w:b/>
          <w:sz w:val="34"/>
          <w:szCs w:val="34"/>
        </w:rPr>
      </w:pPr>
      <w:r w:rsidRPr="00E334E1">
        <w:rPr>
          <w:rFonts w:ascii="Times New Roman" w:eastAsia="Calibri" w:hAnsi="Times New Roman" w:cs="Times New Roman"/>
          <w:b/>
          <w:bCs/>
          <w:sz w:val="34"/>
          <w:szCs w:val="34"/>
        </w:rPr>
        <w:t xml:space="preserve">АДМИНИСТРАЦИЯ </w:t>
      </w:r>
      <w:r w:rsidRPr="00E334E1">
        <w:rPr>
          <w:rFonts w:ascii="Times New Roman" w:eastAsia="Calibri" w:hAnsi="Times New Roman" w:cs="Times New Roman"/>
          <w:b/>
          <w:sz w:val="34"/>
          <w:szCs w:val="34"/>
        </w:rPr>
        <w:t>КУРСКОЙ ОБЛАСТИ</w:t>
      </w:r>
    </w:p>
    <w:p w14:paraId="5CE1F69A" w14:textId="77777777" w:rsidR="00FA2526" w:rsidRPr="00E334E1" w:rsidRDefault="00FA2526" w:rsidP="00FA2526">
      <w:pPr>
        <w:widowControl w:val="0"/>
        <w:spacing w:after="0" w:line="240" w:lineRule="auto"/>
        <w:jc w:val="center"/>
        <w:rPr>
          <w:rFonts w:ascii="Times New Roman" w:eastAsia="Calibri" w:hAnsi="Times New Roman" w:cs="Times New Roman"/>
          <w:b/>
          <w:bCs/>
          <w:color w:val="000000"/>
          <w:spacing w:val="80"/>
          <w:lang w:bidi="ru-RU"/>
        </w:rPr>
      </w:pPr>
    </w:p>
    <w:p w14:paraId="63BE51B4" w14:textId="77777777" w:rsidR="00FA2526" w:rsidRPr="00E334E1" w:rsidRDefault="00FA2526" w:rsidP="00FA2526">
      <w:pPr>
        <w:widowControl w:val="0"/>
        <w:spacing w:after="0" w:line="240" w:lineRule="auto"/>
        <w:jc w:val="center"/>
        <w:rPr>
          <w:rFonts w:ascii="Times New Roman" w:eastAsia="Calibri" w:hAnsi="Times New Roman" w:cs="Times New Roman"/>
          <w:spacing w:val="40"/>
          <w:sz w:val="30"/>
          <w:szCs w:val="30"/>
        </w:rPr>
      </w:pPr>
      <w:r w:rsidRPr="00E334E1">
        <w:rPr>
          <w:rFonts w:ascii="Times New Roman" w:eastAsia="Calibri" w:hAnsi="Times New Roman" w:cs="Times New Roman"/>
          <w:bCs/>
          <w:color w:val="000000"/>
          <w:spacing w:val="40"/>
          <w:sz w:val="30"/>
          <w:szCs w:val="30"/>
          <w:lang w:bidi="ru-RU"/>
        </w:rPr>
        <w:t>ПОСТАНОВЛЕНИЕ</w:t>
      </w:r>
    </w:p>
    <w:p w14:paraId="1751457A" w14:textId="77777777" w:rsidR="00FA2526" w:rsidRPr="00E334E1" w:rsidRDefault="00FA2526" w:rsidP="00FA2526">
      <w:pPr>
        <w:autoSpaceDN w:val="0"/>
        <w:spacing w:after="0" w:line="240" w:lineRule="auto"/>
        <w:jc w:val="center"/>
        <w:rPr>
          <w:rFonts w:ascii="Times New Roman" w:hAnsi="Times New Roman" w:cs="Times New Roman"/>
          <w:sz w:val="16"/>
          <w:szCs w:val="16"/>
          <w:lang w:eastAsia="zh-CN"/>
        </w:rPr>
      </w:pPr>
    </w:p>
    <w:p w14:paraId="23E3200E" w14:textId="77777777" w:rsidR="00FA2526" w:rsidRPr="00E334E1" w:rsidRDefault="00FA2526" w:rsidP="00FA2526">
      <w:pPr>
        <w:spacing w:after="0" w:line="240" w:lineRule="auto"/>
        <w:jc w:val="center"/>
        <w:rPr>
          <w:rFonts w:ascii="Times New Roman" w:hAnsi="Times New Roman" w:cs="Times New Roman"/>
          <w:sz w:val="26"/>
          <w:szCs w:val="26"/>
        </w:rPr>
      </w:pPr>
      <w:r w:rsidRPr="00E334E1">
        <w:rPr>
          <w:rFonts w:ascii="Times New Roman" w:hAnsi="Times New Roman" w:cs="Times New Roman"/>
          <w:sz w:val="26"/>
          <w:szCs w:val="26"/>
        </w:rPr>
        <w:t>от ______________</w:t>
      </w:r>
      <w:proofErr w:type="gramStart"/>
      <w:r w:rsidRPr="00E334E1">
        <w:rPr>
          <w:rFonts w:ascii="Times New Roman" w:hAnsi="Times New Roman" w:cs="Times New Roman"/>
          <w:sz w:val="26"/>
          <w:szCs w:val="26"/>
        </w:rPr>
        <w:t>_  №</w:t>
      </w:r>
      <w:proofErr w:type="gramEnd"/>
      <w:r w:rsidRPr="00E334E1">
        <w:rPr>
          <w:rFonts w:ascii="Times New Roman" w:hAnsi="Times New Roman" w:cs="Times New Roman"/>
          <w:sz w:val="26"/>
          <w:szCs w:val="26"/>
        </w:rPr>
        <w:t xml:space="preserve"> ______________</w:t>
      </w:r>
    </w:p>
    <w:p w14:paraId="5B517E8B" w14:textId="77777777" w:rsidR="00FA2526" w:rsidRPr="00E334E1" w:rsidRDefault="00FA2526" w:rsidP="00FA2526">
      <w:pPr>
        <w:spacing w:after="0" w:line="240" w:lineRule="auto"/>
        <w:jc w:val="center"/>
        <w:rPr>
          <w:rFonts w:ascii="Times New Roman" w:hAnsi="Times New Roman" w:cs="Times New Roman"/>
          <w:sz w:val="16"/>
          <w:szCs w:val="16"/>
        </w:rPr>
      </w:pPr>
    </w:p>
    <w:p w14:paraId="607082F2" w14:textId="77777777" w:rsidR="00FA2526" w:rsidRPr="00E334E1" w:rsidRDefault="00FA2526" w:rsidP="00FA2526">
      <w:pPr>
        <w:spacing w:after="0" w:line="240" w:lineRule="auto"/>
        <w:jc w:val="center"/>
        <w:rPr>
          <w:rFonts w:ascii="Times New Roman" w:hAnsi="Times New Roman" w:cs="Times New Roman"/>
          <w:sz w:val="26"/>
          <w:szCs w:val="26"/>
          <w:lang w:eastAsia="zh-CN"/>
        </w:rPr>
      </w:pPr>
      <w:r w:rsidRPr="00E334E1">
        <w:rPr>
          <w:rFonts w:ascii="Times New Roman" w:hAnsi="Times New Roman" w:cs="Times New Roman"/>
          <w:sz w:val="26"/>
          <w:szCs w:val="26"/>
        </w:rPr>
        <w:t>г. Курск</w:t>
      </w:r>
    </w:p>
    <w:p w14:paraId="575C5FB2" w14:textId="77777777" w:rsidR="00FA2526" w:rsidRPr="00E334E1" w:rsidRDefault="00FA2526" w:rsidP="00FA2526">
      <w:pPr>
        <w:spacing w:after="0" w:line="240" w:lineRule="auto"/>
        <w:jc w:val="center"/>
        <w:textAlignment w:val="baseline"/>
        <w:rPr>
          <w:rFonts w:ascii="Times New Roman" w:eastAsia="Times New Roman" w:hAnsi="Times New Roman"/>
          <w:bCs/>
          <w:sz w:val="28"/>
          <w:szCs w:val="28"/>
          <w:lang w:eastAsia="ru-RU"/>
        </w:rPr>
      </w:pPr>
    </w:p>
    <w:p w14:paraId="0DD00B14" w14:textId="77777777" w:rsidR="00FA2526" w:rsidRPr="00E334E1" w:rsidRDefault="00FA2526" w:rsidP="00FA2526">
      <w:pPr>
        <w:spacing w:after="0" w:line="240" w:lineRule="auto"/>
        <w:jc w:val="center"/>
        <w:textAlignment w:val="baseline"/>
        <w:rPr>
          <w:rFonts w:ascii="Times New Roman" w:eastAsia="Times New Roman" w:hAnsi="Times New Roman"/>
          <w:b/>
          <w:bCs/>
          <w:sz w:val="28"/>
          <w:szCs w:val="28"/>
          <w:lang w:eastAsia="ru-RU"/>
        </w:rPr>
      </w:pPr>
      <w:r w:rsidRPr="00E334E1">
        <w:rPr>
          <w:rFonts w:ascii="Times New Roman" w:eastAsia="Times New Roman" w:hAnsi="Times New Roman"/>
          <w:b/>
          <w:bCs/>
          <w:sz w:val="28"/>
          <w:szCs w:val="28"/>
          <w:lang w:eastAsia="ru-RU"/>
        </w:rPr>
        <w:t xml:space="preserve">О внесении изменений в Генеральный план </w:t>
      </w:r>
    </w:p>
    <w:p w14:paraId="0145C8D3" w14:textId="77777777" w:rsidR="00FA2526" w:rsidRPr="00E334E1" w:rsidRDefault="00FA2526" w:rsidP="00FA2526">
      <w:pPr>
        <w:spacing w:after="0" w:line="240" w:lineRule="auto"/>
        <w:jc w:val="center"/>
        <w:textAlignment w:val="baseline"/>
        <w:rPr>
          <w:rFonts w:ascii="Times New Roman" w:eastAsia="Times New Roman" w:hAnsi="Times New Roman"/>
          <w:b/>
          <w:bCs/>
          <w:sz w:val="28"/>
          <w:szCs w:val="28"/>
          <w:lang w:eastAsia="ru-RU"/>
        </w:rPr>
      </w:pPr>
      <w:r w:rsidRPr="00E334E1">
        <w:rPr>
          <w:rFonts w:ascii="Times New Roman" w:eastAsia="Times New Roman" w:hAnsi="Times New Roman"/>
          <w:b/>
          <w:bCs/>
          <w:sz w:val="28"/>
          <w:szCs w:val="28"/>
          <w:lang w:eastAsia="ru-RU"/>
        </w:rPr>
        <w:t xml:space="preserve">муниципального образования «поселок Золотухино» </w:t>
      </w:r>
    </w:p>
    <w:p w14:paraId="6D35EFDC" w14:textId="77777777" w:rsidR="00FA2526" w:rsidRPr="00E334E1" w:rsidRDefault="00FA2526" w:rsidP="00FA2526">
      <w:pPr>
        <w:spacing w:after="0" w:line="240" w:lineRule="auto"/>
        <w:jc w:val="center"/>
        <w:textAlignment w:val="baseline"/>
        <w:rPr>
          <w:rFonts w:ascii="Times New Roman" w:eastAsia="Times New Roman" w:hAnsi="Times New Roman"/>
          <w:b/>
          <w:bCs/>
          <w:sz w:val="28"/>
          <w:szCs w:val="28"/>
          <w:lang w:eastAsia="ru-RU"/>
        </w:rPr>
      </w:pPr>
      <w:r w:rsidRPr="00E334E1">
        <w:rPr>
          <w:rFonts w:ascii="Times New Roman" w:eastAsia="Times New Roman" w:hAnsi="Times New Roman"/>
          <w:b/>
          <w:bCs/>
          <w:sz w:val="28"/>
          <w:szCs w:val="28"/>
          <w:lang w:eastAsia="ru-RU"/>
        </w:rPr>
        <w:t>Золотухинского района Курской области</w:t>
      </w:r>
    </w:p>
    <w:p w14:paraId="493FC761" w14:textId="77777777" w:rsidR="00FA2526" w:rsidRPr="00E334E1" w:rsidRDefault="00FA2526" w:rsidP="00FA2526">
      <w:pPr>
        <w:spacing w:after="0" w:line="240" w:lineRule="auto"/>
        <w:jc w:val="center"/>
        <w:textAlignment w:val="baseline"/>
        <w:rPr>
          <w:rFonts w:ascii="Times New Roman" w:eastAsia="Times New Roman" w:hAnsi="Times New Roman"/>
          <w:b/>
          <w:bCs/>
          <w:sz w:val="28"/>
          <w:szCs w:val="28"/>
          <w:lang w:eastAsia="ru-RU"/>
        </w:rPr>
      </w:pPr>
    </w:p>
    <w:p w14:paraId="2ED0AE61" w14:textId="77777777" w:rsidR="00FA2526" w:rsidRPr="00E334E1" w:rsidRDefault="00FA2526" w:rsidP="00FA2526">
      <w:pPr>
        <w:pStyle w:val="a5"/>
        <w:tabs>
          <w:tab w:val="left" w:pos="709"/>
        </w:tabs>
        <w:ind w:firstLine="709"/>
        <w:jc w:val="both"/>
        <w:rPr>
          <w:szCs w:val="28"/>
        </w:rPr>
      </w:pPr>
    </w:p>
    <w:p w14:paraId="16BE866C" w14:textId="77777777" w:rsidR="00FA2526" w:rsidRPr="00E334E1" w:rsidRDefault="00FA2526" w:rsidP="00FA2526">
      <w:pPr>
        <w:pStyle w:val="a5"/>
        <w:tabs>
          <w:tab w:val="left" w:pos="709"/>
        </w:tabs>
        <w:ind w:firstLine="709"/>
        <w:jc w:val="both"/>
        <w:rPr>
          <w:szCs w:val="28"/>
        </w:rPr>
      </w:pPr>
      <w:r w:rsidRPr="00E334E1">
        <w:rPr>
          <w:szCs w:val="28"/>
        </w:rPr>
        <w:t xml:space="preserve">В соответствии с Градостроительным кодексом Российской Федерации, Законом Курской области от 7 декабря 2021 года № 109-ЗКО </w:t>
      </w:r>
      <w:r w:rsidRPr="00E334E1">
        <w:rPr>
          <w:szCs w:val="28"/>
        </w:rPr>
        <w:br/>
        <w:t>«О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02.03.2022 № 180-па «Об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 Администрация Курской области ПОСТАНОВЛЯЕТ:</w:t>
      </w:r>
    </w:p>
    <w:p w14:paraId="2637A624" w14:textId="77777777" w:rsidR="00FA2526" w:rsidRPr="00E334E1" w:rsidRDefault="00FA2526" w:rsidP="00FA2526">
      <w:pPr>
        <w:pStyle w:val="a5"/>
        <w:tabs>
          <w:tab w:val="left" w:pos="709"/>
        </w:tabs>
        <w:ind w:firstLine="709"/>
        <w:jc w:val="both"/>
        <w:rPr>
          <w:szCs w:val="28"/>
        </w:rPr>
      </w:pPr>
      <w:r w:rsidRPr="00E334E1">
        <w:rPr>
          <w:szCs w:val="28"/>
        </w:rPr>
        <w:t>Утвердить прилагаемые изменения, которые вносятся в Генеральный план муниципального образования «поселок Золотухино» Золотухинского района Курской области, утвержденный решением Собрания депутатов поселка Золотухино Золотухинского района Курской области от 03.08.2012 № 12.</w:t>
      </w:r>
    </w:p>
    <w:p w14:paraId="3FED82CD" w14:textId="77777777" w:rsidR="00FA2526" w:rsidRPr="00E334E1" w:rsidRDefault="00FA2526" w:rsidP="00FA2526">
      <w:pPr>
        <w:shd w:val="clear" w:color="auto" w:fill="FFFFFF"/>
        <w:adjustRightInd w:val="0"/>
        <w:spacing w:after="0" w:line="240" w:lineRule="auto"/>
        <w:jc w:val="both"/>
        <w:rPr>
          <w:rFonts w:ascii="Times New Roman" w:eastAsia="Times New Roman" w:hAnsi="Times New Roman"/>
          <w:sz w:val="28"/>
          <w:szCs w:val="28"/>
          <w:lang w:eastAsia="ru-RU"/>
        </w:rPr>
      </w:pPr>
    </w:p>
    <w:p w14:paraId="15BFD681" w14:textId="77777777" w:rsidR="00FA2526" w:rsidRPr="00E334E1" w:rsidRDefault="00FA2526" w:rsidP="00FA2526">
      <w:pPr>
        <w:shd w:val="clear" w:color="auto" w:fill="FFFFFF"/>
        <w:adjustRightInd w:val="0"/>
        <w:spacing w:after="0" w:line="240" w:lineRule="auto"/>
        <w:jc w:val="both"/>
        <w:rPr>
          <w:rFonts w:ascii="Times New Roman" w:eastAsia="Times New Roman" w:hAnsi="Times New Roman"/>
          <w:sz w:val="28"/>
          <w:szCs w:val="28"/>
          <w:lang w:eastAsia="ru-RU"/>
        </w:rPr>
      </w:pPr>
    </w:p>
    <w:p w14:paraId="7B94D925" w14:textId="77777777" w:rsidR="00FA2526" w:rsidRPr="00E334E1" w:rsidRDefault="00FA2526" w:rsidP="00FA2526">
      <w:pPr>
        <w:shd w:val="clear" w:color="auto" w:fill="FFFFFF"/>
        <w:adjustRightInd w:val="0"/>
        <w:spacing w:after="0" w:line="240" w:lineRule="auto"/>
        <w:jc w:val="both"/>
        <w:rPr>
          <w:rFonts w:ascii="Times New Roman" w:eastAsia="Times New Roman" w:hAnsi="Times New Roman"/>
          <w:sz w:val="28"/>
          <w:szCs w:val="28"/>
          <w:lang w:eastAsia="ru-RU"/>
        </w:rPr>
      </w:pPr>
      <w:r w:rsidRPr="00E334E1">
        <w:rPr>
          <w:rFonts w:ascii="Times New Roman" w:eastAsia="Times New Roman" w:hAnsi="Times New Roman"/>
          <w:sz w:val="28"/>
          <w:szCs w:val="28"/>
          <w:lang w:eastAsia="ru-RU"/>
        </w:rPr>
        <w:t xml:space="preserve">Губернатор </w:t>
      </w:r>
    </w:p>
    <w:p w14:paraId="185B48D2" w14:textId="0EA83ABA" w:rsidR="00FA2526" w:rsidRPr="00E334E1" w:rsidRDefault="00FA2526" w:rsidP="00FA2526">
      <w:pPr>
        <w:shd w:val="clear" w:color="auto" w:fill="FFFFFF"/>
        <w:adjustRightInd w:val="0"/>
        <w:spacing w:after="0" w:line="240" w:lineRule="auto"/>
        <w:jc w:val="both"/>
        <w:rPr>
          <w:rFonts w:ascii="Times New Roman" w:eastAsia="Times New Roman" w:hAnsi="Times New Roman"/>
          <w:sz w:val="28"/>
          <w:szCs w:val="28"/>
          <w:lang w:eastAsia="ru-RU"/>
        </w:rPr>
      </w:pPr>
      <w:r w:rsidRPr="00E334E1">
        <w:rPr>
          <w:rFonts w:ascii="Times New Roman" w:eastAsia="Times New Roman" w:hAnsi="Times New Roman"/>
          <w:sz w:val="28"/>
          <w:szCs w:val="28"/>
          <w:lang w:eastAsia="ru-RU"/>
        </w:rPr>
        <w:t xml:space="preserve">Курской области                                                            </w:t>
      </w:r>
      <w:bookmarkStart w:id="0" w:name="P1561"/>
      <w:bookmarkStart w:id="1" w:name="P1562"/>
      <w:bookmarkStart w:id="2" w:name="P1568"/>
      <w:bookmarkStart w:id="3" w:name="P1569"/>
      <w:bookmarkStart w:id="4" w:name="P1590"/>
      <w:bookmarkStart w:id="5" w:name="P1591"/>
      <w:bookmarkStart w:id="6" w:name="P1598"/>
      <w:bookmarkStart w:id="7" w:name="P1599"/>
      <w:bookmarkStart w:id="8" w:name="P1610"/>
      <w:bookmarkStart w:id="9" w:name="P1615"/>
      <w:bookmarkStart w:id="10" w:name="P1626"/>
      <w:bookmarkStart w:id="11" w:name="P1629"/>
      <w:bookmarkStart w:id="12" w:name="P1636"/>
      <w:bookmarkStart w:id="13" w:name="P1651"/>
      <w:bookmarkStart w:id="14" w:name="P1673"/>
      <w:bookmarkStart w:id="15" w:name="P1680"/>
      <w:bookmarkStart w:id="16" w:name="P1701"/>
      <w:bookmarkStart w:id="17" w:name="P1705"/>
      <w:bookmarkStart w:id="18" w:name="P1709"/>
      <w:bookmarkStart w:id="19" w:name="P1714"/>
      <w:bookmarkStart w:id="20" w:name="P1719"/>
      <w:bookmarkStart w:id="21" w:name="P110"/>
      <w:bookmarkStart w:id="22" w:name="P47"/>
      <w:bookmarkStart w:id="23" w:name="P53"/>
      <w:bookmarkStart w:id="24" w:name="P56"/>
      <w:bookmarkStart w:id="25" w:name="P58"/>
      <w:bookmarkStart w:id="26" w:name="P59"/>
      <w:bookmarkStart w:id="27" w:name="P62"/>
      <w:bookmarkStart w:id="28" w:name="P119"/>
      <w:bookmarkStart w:id="29" w:name="P1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334E1">
        <w:rPr>
          <w:rFonts w:ascii="Times New Roman" w:eastAsia="Times New Roman" w:hAnsi="Times New Roman"/>
          <w:sz w:val="28"/>
          <w:szCs w:val="28"/>
          <w:lang w:eastAsia="ru-RU"/>
        </w:rPr>
        <w:t xml:space="preserve">                   Р. </w:t>
      </w:r>
      <w:proofErr w:type="spellStart"/>
      <w:r w:rsidRPr="00E334E1">
        <w:rPr>
          <w:rFonts w:ascii="Times New Roman" w:eastAsia="Times New Roman" w:hAnsi="Times New Roman"/>
          <w:sz w:val="28"/>
          <w:szCs w:val="28"/>
          <w:lang w:eastAsia="ru-RU"/>
        </w:rPr>
        <w:t>Старовойт</w:t>
      </w:r>
      <w:proofErr w:type="spellEnd"/>
    </w:p>
    <w:p w14:paraId="66E1B587" w14:textId="77777777" w:rsidR="00FA2526" w:rsidRPr="00E334E1" w:rsidRDefault="00FA2526" w:rsidP="00FA2526">
      <w:pPr>
        <w:spacing w:after="0" w:line="240" w:lineRule="auto"/>
        <w:ind w:left="5103"/>
        <w:jc w:val="center"/>
        <w:textAlignment w:val="baseline"/>
        <w:rPr>
          <w:rFonts w:ascii="Times New Roman" w:eastAsia="Times New Roman" w:hAnsi="Times New Roman" w:cs="Times New Roman"/>
          <w:sz w:val="28"/>
          <w:szCs w:val="28"/>
          <w:lang w:eastAsia="ru-RU"/>
        </w:rPr>
      </w:pPr>
      <w:r w:rsidRPr="00E334E1">
        <w:rPr>
          <w:rFonts w:ascii="Times New Roman" w:eastAsia="Times New Roman" w:hAnsi="Times New Roman"/>
          <w:sz w:val="28"/>
          <w:szCs w:val="28"/>
          <w:lang w:eastAsia="ru-RU"/>
        </w:rPr>
        <w:br w:type="column"/>
      </w:r>
      <w:r w:rsidRPr="00E334E1">
        <w:rPr>
          <w:rFonts w:ascii="Times New Roman" w:eastAsia="Times New Roman" w:hAnsi="Times New Roman" w:cs="Times New Roman"/>
          <w:sz w:val="28"/>
          <w:szCs w:val="28"/>
          <w:lang w:eastAsia="ru-RU"/>
        </w:rPr>
        <w:lastRenderedPageBreak/>
        <w:t>УТВЕРЖДЕНЫ</w:t>
      </w:r>
    </w:p>
    <w:p w14:paraId="7BFDF294" w14:textId="77777777" w:rsidR="00FA2526" w:rsidRPr="00E334E1" w:rsidRDefault="00FA2526" w:rsidP="00FA2526">
      <w:pPr>
        <w:spacing w:after="0" w:line="240" w:lineRule="auto"/>
        <w:ind w:left="5103"/>
        <w:jc w:val="center"/>
        <w:textAlignment w:val="baseline"/>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постановлением Администрации</w:t>
      </w:r>
    </w:p>
    <w:p w14:paraId="584FFF3E" w14:textId="77777777" w:rsidR="00FA2526" w:rsidRPr="00E334E1" w:rsidRDefault="00FA2526" w:rsidP="00FA2526">
      <w:pPr>
        <w:spacing w:after="0" w:line="240" w:lineRule="auto"/>
        <w:ind w:left="5103"/>
        <w:jc w:val="center"/>
        <w:textAlignment w:val="baseline"/>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Курской области</w:t>
      </w:r>
    </w:p>
    <w:p w14:paraId="0FFFC185" w14:textId="77777777" w:rsidR="00FA2526" w:rsidRPr="00E334E1" w:rsidRDefault="00FA2526" w:rsidP="00FA2526">
      <w:pPr>
        <w:spacing w:after="0" w:line="240" w:lineRule="auto"/>
        <w:ind w:left="5103"/>
        <w:jc w:val="center"/>
        <w:textAlignment w:val="baseline"/>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от ______________№_____</w:t>
      </w:r>
    </w:p>
    <w:p w14:paraId="61AFD68B" w14:textId="77777777" w:rsidR="00FA2526" w:rsidRPr="00E334E1" w:rsidRDefault="00FA2526" w:rsidP="00FA2526">
      <w:pPr>
        <w:spacing w:after="0" w:line="240" w:lineRule="auto"/>
        <w:jc w:val="center"/>
        <w:textAlignment w:val="baseline"/>
        <w:rPr>
          <w:rFonts w:ascii="Times New Roman" w:eastAsia="Times New Roman" w:hAnsi="Times New Roman" w:cs="Times New Roman"/>
          <w:b/>
          <w:bCs/>
          <w:sz w:val="28"/>
          <w:szCs w:val="28"/>
          <w:lang w:eastAsia="ru-RU"/>
        </w:rPr>
      </w:pPr>
    </w:p>
    <w:p w14:paraId="31C67A6C" w14:textId="77777777" w:rsidR="00FA2526" w:rsidRPr="00E334E1" w:rsidRDefault="00FA2526" w:rsidP="00FA2526">
      <w:pPr>
        <w:spacing w:after="0" w:line="240" w:lineRule="auto"/>
        <w:jc w:val="center"/>
        <w:textAlignment w:val="baseline"/>
        <w:rPr>
          <w:rFonts w:ascii="Times New Roman" w:eastAsia="Times New Roman" w:hAnsi="Times New Roman" w:cs="Times New Roman"/>
          <w:b/>
          <w:bCs/>
          <w:sz w:val="28"/>
          <w:szCs w:val="28"/>
          <w:lang w:eastAsia="ru-RU"/>
        </w:rPr>
      </w:pPr>
    </w:p>
    <w:p w14:paraId="2653589A" w14:textId="77777777" w:rsidR="00FA2526" w:rsidRPr="00E334E1" w:rsidRDefault="00FA2526" w:rsidP="00FA2526">
      <w:pPr>
        <w:spacing w:after="0" w:line="240" w:lineRule="auto"/>
        <w:jc w:val="center"/>
        <w:textAlignment w:val="baseline"/>
        <w:rPr>
          <w:rFonts w:ascii="Times New Roman" w:eastAsia="Times New Roman" w:hAnsi="Times New Roman" w:cs="Times New Roman"/>
          <w:b/>
          <w:bCs/>
          <w:sz w:val="28"/>
          <w:szCs w:val="28"/>
          <w:lang w:eastAsia="ru-RU"/>
        </w:rPr>
      </w:pPr>
      <w:r w:rsidRPr="00E334E1">
        <w:rPr>
          <w:rFonts w:ascii="Times New Roman" w:eastAsia="Times New Roman" w:hAnsi="Times New Roman" w:cs="Times New Roman"/>
          <w:b/>
          <w:bCs/>
          <w:sz w:val="28"/>
          <w:szCs w:val="28"/>
          <w:lang w:eastAsia="ru-RU"/>
        </w:rPr>
        <w:t>ИЗМЕНЕНИЯ,</w:t>
      </w:r>
    </w:p>
    <w:p w14:paraId="667ADDD7" w14:textId="77777777" w:rsidR="00FA2526" w:rsidRPr="00E334E1" w:rsidRDefault="00FA2526" w:rsidP="00FA2526">
      <w:pPr>
        <w:spacing w:line="240" w:lineRule="auto"/>
        <w:jc w:val="center"/>
        <w:rPr>
          <w:rFonts w:ascii="Times New Roman" w:eastAsia="Times New Roman" w:hAnsi="Times New Roman" w:cs="Times New Roman"/>
          <w:b/>
          <w:bCs/>
          <w:sz w:val="28"/>
          <w:szCs w:val="28"/>
          <w:lang w:eastAsia="ru-RU"/>
        </w:rPr>
      </w:pPr>
      <w:r w:rsidRPr="00E334E1">
        <w:rPr>
          <w:rFonts w:ascii="Times New Roman" w:eastAsia="Times New Roman" w:hAnsi="Times New Roman" w:cs="Times New Roman"/>
          <w:b/>
          <w:bCs/>
          <w:sz w:val="28"/>
          <w:szCs w:val="28"/>
          <w:lang w:eastAsia="ru-RU"/>
        </w:rPr>
        <w:t>которые вносятся в Генеральный план муниципального образования «поселок Золотухино» Золотухинского района Курской области, утвержденный решением Собрания депутатов поселка Золотухино Золотухинского района Курской области от 03.08.2012 № 12</w:t>
      </w:r>
    </w:p>
    <w:p w14:paraId="63DF7569" w14:textId="129D6F67" w:rsidR="00FA2526" w:rsidRPr="00E334E1" w:rsidRDefault="00FA2526" w:rsidP="00FA2526">
      <w:pPr>
        <w:shd w:val="clear" w:color="auto" w:fill="FFFFFF"/>
        <w:adjustRightInd w:val="0"/>
        <w:spacing w:after="0" w:line="240" w:lineRule="auto"/>
        <w:jc w:val="both"/>
        <w:rPr>
          <w:rFonts w:ascii="Times New Roman" w:eastAsia="Times New Roman" w:hAnsi="Times New Roman"/>
          <w:sz w:val="28"/>
          <w:szCs w:val="28"/>
          <w:lang w:eastAsia="ru-RU"/>
        </w:rPr>
      </w:pPr>
    </w:p>
    <w:p w14:paraId="11B83694" w14:textId="77777777" w:rsidR="00FA2526" w:rsidRPr="00E334E1" w:rsidRDefault="00FA2526" w:rsidP="00FA2526">
      <w:pPr>
        <w:spacing w:after="0" w:line="240" w:lineRule="auto"/>
        <w:ind w:firstLine="709"/>
        <w:jc w:val="both"/>
        <w:rPr>
          <w:rFonts w:ascii="Times New Roman" w:hAnsi="Times New Roman" w:cs="Times New Roman"/>
          <w:sz w:val="28"/>
          <w:szCs w:val="28"/>
        </w:rPr>
      </w:pPr>
      <w:r w:rsidRPr="00E334E1">
        <w:rPr>
          <w:rFonts w:ascii="Times New Roman" w:eastAsia="Times New Roman" w:hAnsi="Times New Roman" w:cs="Times New Roman"/>
          <w:bCs/>
          <w:sz w:val="28"/>
          <w:szCs w:val="28"/>
          <w:lang w:eastAsia="ru-RU"/>
        </w:rPr>
        <w:t xml:space="preserve">3. </w:t>
      </w:r>
      <w:r w:rsidRPr="00E334E1">
        <w:rPr>
          <w:rFonts w:ascii="Times New Roman" w:hAnsi="Times New Roman" w:cs="Times New Roman"/>
          <w:sz w:val="28"/>
          <w:szCs w:val="28"/>
        </w:rPr>
        <w:t>В томе 3 «Перечень и характеристика основных факторов риска возникновения чрезвычайных ситуаций природного и техногенного характера»:</w:t>
      </w:r>
    </w:p>
    <w:p w14:paraId="63127CD8" w14:textId="77777777" w:rsidR="00FA2526" w:rsidRPr="00E334E1" w:rsidRDefault="00FA2526" w:rsidP="00FA2526">
      <w:pPr>
        <w:spacing w:after="0" w:line="240" w:lineRule="auto"/>
        <w:ind w:firstLine="709"/>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1) Раздел «ВВЕДЕНИЕ» изложить в редакции следующего содержания:</w:t>
      </w:r>
    </w:p>
    <w:p w14:paraId="574C4355" w14:textId="77777777" w:rsidR="00FA2526" w:rsidRPr="00E334E1" w:rsidRDefault="00FA2526" w:rsidP="00FA2526">
      <w:pPr>
        <w:keepNext/>
        <w:tabs>
          <w:tab w:val="left" w:pos="511"/>
          <w:tab w:val="left" w:pos="8641"/>
        </w:tabs>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«Цель разработки раздела «Перечень и характеристика основных факторов риска возникновения чрезвычайных ситуаций природного и техногенного характера» в составе материалов обоснования Генерального плана муниципального образования «поселок Золотухино» Золотухинского района Курской области </w:t>
      </w:r>
      <w:r w:rsidRPr="00E334E1">
        <w:rPr>
          <w:rFonts w:ascii="Times New Roman" w:eastAsia="Calibri" w:hAnsi="Times New Roman" w:cs="Times New Roman"/>
          <w:b/>
          <w:sz w:val="28"/>
          <w:szCs w:val="28"/>
        </w:rPr>
        <w:t xml:space="preserve">– </w:t>
      </w:r>
      <w:r w:rsidRPr="00E334E1">
        <w:rPr>
          <w:rFonts w:ascii="Times New Roman" w:eastAsia="Calibri" w:hAnsi="Times New Roman" w:cs="Times New Roman"/>
          <w:sz w:val="28"/>
          <w:szCs w:val="28"/>
        </w:rPr>
        <w:t xml:space="preserve">анализ основных опасностей и рисков на территории сельсовета и факторов их возникновения. </w:t>
      </w:r>
    </w:p>
    <w:p w14:paraId="23BFFE0E" w14:textId="77777777" w:rsidR="00FA2526" w:rsidRPr="00E334E1" w:rsidRDefault="00FA2526" w:rsidP="00FA2526">
      <w:pPr>
        <w:tabs>
          <w:tab w:val="left" w:pos="0"/>
        </w:tabs>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Основной задачей при разработке раздела, на основе анализа факторов риска возникновения ЧС природного и техногенного характера, в том числе включая ЧС военного, биолого-социального характера и иных угроз проектируемой территории, определить разработку проектных мероприятий по минимизации их последствий с учетом ИТМ ГО, предупреждения ЧС и обеспечения пожарной безопасности, а также выявить территории, возможности застройки и хозяйственного использования которых ограничены действием указанных факторов,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w:t>
      </w:r>
    </w:p>
    <w:p w14:paraId="17822153" w14:textId="77777777" w:rsidR="00FA2526" w:rsidRPr="00E334E1" w:rsidRDefault="00FA2526" w:rsidP="00FA2526">
      <w:pPr>
        <w:tabs>
          <w:tab w:val="left" w:pos="0"/>
        </w:tabs>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Перечень нормативных актов, нормативно-технических и иных документов, использованных при разработке раздела:</w:t>
      </w:r>
    </w:p>
    <w:p w14:paraId="76453681"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СП 165.1325800.2014 «СНиП 2.01.51-90 Инженерно-технические мероприятия гражданской обороны»;</w:t>
      </w:r>
    </w:p>
    <w:p w14:paraId="5848EC65"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СП 88.13330.2014 «СНиП II-11-77* Защитные сооружения гражданской обороны»;</w:t>
      </w:r>
    </w:p>
    <w:p w14:paraId="00A1D083"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 xml:space="preserve">СП 264.1325800.2016 «СНиП 2.01.53-84 Световая маскировка населенных пунктов и объектов народного хозяйства»; </w:t>
      </w:r>
    </w:p>
    <w:p w14:paraId="5AC8E1B1"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СП 32.13330.2018 «СНиП 2.04.03-85 Канализация. Наружные сети и сооружения»;</w:t>
      </w:r>
    </w:p>
    <w:p w14:paraId="678734AB"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СП 42.13330.2016 «СНиП 2.07.01-89* Градостроительство. Планировка и застройка городских и сельских поселений»;</w:t>
      </w:r>
    </w:p>
    <w:p w14:paraId="48FC629B"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lastRenderedPageBreak/>
        <w:t>СП 104.13330.2016 «СНиП 2.06.15-85 Инженерная защита территории от затопления и подтопления. Актуализированная редакция»;</w:t>
      </w:r>
    </w:p>
    <w:p w14:paraId="155FB006"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 xml:space="preserve">СП 116.13330.2012 «СНиП 22-02-2003 Инженерная защита территорий, зданий и сооружений от опасных геологических процессов. Основные положения проектирования»; </w:t>
      </w:r>
    </w:p>
    <w:p w14:paraId="12F0963F"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СП 94.13330.2016 «СНиП 2.01.57-85 Приспособление объектов коммунально- бытового назначения для санитарной обработки людей, специальной обработки одежды и подвижного состава автотранспорта»;</w:t>
      </w:r>
    </w:p>
    <w:p w14:paraId="32C0ADFA"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ведомственные строительные нормы ВСН ВК 4-90 «Инструкция по подготовке и работе систем хозяйственно-питьевого водоснабжения в чрезвычайных ситуациях»;</w:t>
      </w:r>
    </w:p>
    <w:p w14:paraId="24DF276A"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«Положение о системах оповещения населения», утверждённое совместным приказом МЧС России, Минцифры России от 31.07.2020 № 578/365;</w:t>
      </w:r>
    </w:p>
    <w:p w14:paraId="1FF7CDF3"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«Технический регламент о требованиях пожарной безопасности», утверждённый Федеральным законом Российской Федерации от 22.07.2008 № 123-ФЗ;</w:t>
      </w:r>
    </w:p>
    <w:p w14:paraId="00A49ED9"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«Правила эвакуации населения, материальных и культурных ценностей в безопасные районы», утвержденные постановлением Правительства Российской Федерации от 22.06.2004 № 303ДСП;</w:t>
      </w:r>
    </w:p>
    <w:p w14:paraId="466EADD1"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«Порядок создания убежищ и иных объектов гражданской обороны», утверждённый постановлением Правительства Российской Федерации от 29.11.1999 № 1309;</w:t>
      </w:r>
    </w:p>
    <w:p w14:paraId="1F0F139B"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«Методические рекомендации по разработке проектов генеральных планов поселений и городских округов», утвержденные приказом Минрегионразвития Российской Федерации от 26.05.2011 № 244.»;</w:t>
      </w:r>
    </w:p>
    <w:p w14:paraId="206FD6BC"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2) в разделе 1 «Краткое описание территории муниципального образования, условий, и инфраструктуры, формирующих факторы риска возникновения чрезвычайных ситуаций»:</w:t>
      </w:r>
    </w:p>
    <w:p w14:paraId="7D8DB153"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а) подраздел 1.1 «Топографо-геодезические условия» дополнить восьмым и девятым абзацем следующего содержания:</w:t>
      </w:r>
    </w:p>
    <w:p w14:paraId="3FD8C4D9"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«Территория поселка Золотухино не отнесена к группе по ГО.</w:t>
      </w:r>
    </w:p>
    <w:p w14:paraId="7A0490DF"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Территория поселка Золотухино расположена более чем в 31 км севернее территории г. Курск, и более чем в 61 км северо-восточнее территории г. Курчатов, отнесённых к группам по ГО.»;</w:t>
      </w:r>
    </w:p>
    <w:p w14:paraId="1C36A543"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
          <w:bCs/>
          <w:sz w:val="28"/>
          <w:szCs w:val="28"/>
          <w:lang w:eastAsia="ru-RU"/>
        </w:rPr>
      </w:pPr>
      <w:r w:rsidRPr="00E334E1">
        <w:rPr>
          <w:rFonts w:ascii="Times New Roman" w:eastAsia="Times New Roman" w:hAnsi="Times New Roman" w:cs="Times New Roman"/>
          <w:bCs/>
          <w:sz w:val="28"/>
          <w:szCs w:val="28"/>
          <w:lang w:eastAsia="ru-RU"/>
        </w:rPr>
        <w:t>б) подраздел 1.3 «Климатические условия»</w:t>
      </w:r>
      <w:r w:rsidRPr="00E334E1">
        <w:rPr>
          <w:rFonts w:ascii="Times New Roman" w:eastAsia="Times New Roman" w:hAnsi="Times New Roman" w:cs="Times New Roman"/>
          <w:b/>
          <w:bCs/>
          <w:sz w:val="28"/>
          <w:szCs w:val="28"/>
          <w:lang w:eastAsia="ru-RU"/>
        </w:rPr>
        <w:t xml:space="preserve"> </w:t>
      </w:r>
      <w:r w:rsidRPr="00E334E1">
        <w:rPr>
          <w:rFonts w:ascii="Times New Roman" w:eastAsia="Times New Roman" w:hAnsi="Times New Roman" w:cs="Times New Roman"/>
          <w:sz w:val="28"/>
          <w:szCs w:val="28"/>
          <w:lang w:eastAsia="ru-RU"/>
        </w:rPr>
        <w:t>дополнить абзацем следующего содержания:</w:t>
      </w:r>
    </w:p>
    <w:p w14:paraId="776EC4B1"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«Согласно СП 131.13330.2020 «СНиП 23-01-99* Строительная климатология» территория муниципального образования относится к II дорожно-климатической зоне и климатическому подрайону «В» климатического района II. Климат района умеренно-континентальный, в целом благоприятный для ведения эффективного сельскохозяйственного производства.»;</w:t>
      </w:r>
    </w:p>
    <w:p w14:paraId="6F7CB3D5"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3) в разделе 3 «</w:t>
      </w:r>
      <w:r w:rsidRPr="00E334E1">
        <w:rPr>
          <w:rFonts w:ascii="Times New Roman" w:eastAsia="Times New Roman" w:hAnsi="Times New Roman" w:cs="Times New Roman"/>
          <w:bCs/>
          <w:snapToGrid w:val="0"/>
          <w:sz w:val="28"/>
          <w:szCs w:val="28"/>
          <w:lang w:eastAsia="ru-RU"/>
        </w:rPr>
        <w:t xml:space="preserve">Характеристики факторов риска возникновения </w:t>
      </w:r>
      <w:r w:rsidRPr="00E334E1">
        <w:rPr>
          <w:rFonts w:ascii="Times New Roman" w:eastAsia="Times New Roman" w:hAnsi="Times New Roman" w:cs="Times New Roman"/>
          <w:bCs/>
          <w:snapToGrid w:val="0"/>
          <w:sz w:val="28"/>
          <w:szCs w:val="28"/>
          <w:lang w:eastAsia="ru-RU"/>
        </w:rPr>
        <w:lastRenderedPageBreak/>
        <w:t>чрезвычайных ситуаций природного и техногенного характера</w:t>
      </w:r>
      <w:r w:rsidRPr="00E334E1">
        <w:rPr>
          <w:rFonts w:ascii="Times New Roman" w:eastAsia="Times New Roman" w:hAnsi="Times New Roman" w:cs="Times New Roman"/>
          <w:bCs/>
          <w:sz w:val="28"/>
          <w:szCs w:val="28"/>
          <w:lang w:eastAsia="ru-RU"/>
        </w:rPr>
        <w:t>»:</w:t>
      </w:r>
    </w:p>
    <w:p w14:paraId="1E0BE433" w14:textId="77777777" w:rsidR="00FA2526" w:rsidRPr="00E334E1" w:rsidRDefault="00FA2526" w:rsidP="00FA2526">
      <w:pPr>
        <w:widowControl w:val="0"/>
        <w:spacing w:after="0" w:line="240" w:lineRule="auto"/>
        <w:ind w:firstLine="720"/>
        <w:contextualSpacing/>
        <w:jc w:val="both"/>
        <w:rPr>
          <w:rFonts w:ascii="Times New Roman" w:eastAsia="Calibri" w:hAnsi="Times New Roman" w:cs="Times New Roman"/>
          <w:bCs/>
          <w:sz w:val="28"/>
          <w:szCs w:val="28"/>
        </w:rPr>
      </w:pPr>
      <w:r w:rsidRPr="00E334E1">
        <w:rPr>
          <w:rFonts w:ascii="Times New Roman" w:eastAsia="Calibri" w:hAnsi="Times New Roman" w:cs="Times New Roman"/>
          <w:bCs/>
          <w:sz w:val="28"/>
          <w:szCs w:val="28"/>
        </w:rPr>
        <w:t>а) подраздел 3.1 «Характеристика факторов риска ЧС техногенного характера и воздействия их последствий на территорию поселка</w:t>
      </w:r>
      <w:r w:rsidRPr="00E334E1">
        <w:rPr>
          <w:rFonts w:ascii="Times New Roman" w:eastAsia="Calibri" w:hAnsi="Times New Roman" w:cs="Times New Roman"/>
          <w:bCs/>
          <w:snapToGrid w:val="0"/>
          <w:sz w:val="28"/>
          <w:szCs w:val="28"/>
        </w:rPr>
        <w:t xml:space="preserve">» </w:t>
      </w:r>
      <w:r w:rsidRPr="00E334E1">
        <w:rPr>
          <w:rFonts w:ascii="Times New Roman" w:eastAsia="Calibri" w:hAnsi="Times New Roman" w:cs="Times New Roman"/>
          <w:bCs/>
          <w:sz w:val="28"/>
          <w:szCs w:val="28"/>
        </w:rPr>
        <w:t>дополнить третьим абзацем следующего содержания:</w:t>
      </w:r>
    </w:p>
    <w:p w14:paraId="493E28B5"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bCs/>
          <w:sz w:val="28"/>
          <w:szCs w:val="28"/>
        </w:rPr>
        <w:t>«</w:t>
      </w:r>
      <w:bookmarkStart w:id="30" w:name="_Hlk98845141"/>
      <w:bookmarkStart w:id="31" w:name="_Hlk98858178"/>
      <w:r w:rsidRPr="00E334E1">
        <w:rPr>
          <w:rFonts w:ascii="Times New Roman" w:eastAsia="Calibri" w:hAnsi="Times New Roman" w:cs="Times New Roman"/>
          <w:sz w:val="28"/>
          <w:szCs w:val="28"/>
        </w:rPr>
        <w:t>Показатель приемлемого риска возникновения техногенных ЧС составляет 1,4х10</w:t>
      </w:r>
      <w:r w:rsidRPr="00E334E1">
        <w:rPr>
          <w:rFonts w:ascii="Times New Roman" w:eastAsia="Calibri" w:hAnsi="Times New Roman" w:cs="Times New Roman"/>
          <w:sz w:val="28"/>
          <w:szCs w:val="28"/>
          <w:vertAlign w:val="superscript"/>
        </w:rPr>
        <w:noBreakHyphen/>
        <w:t>5</w:t>
      </w:r>
      <w:r w:rsidRPr="00E334E1">
        <w:rPr>
          <w:rFonts w:ascii="Times New Roman" w:eastAsia="Calibri" w:hAnsi="Times New Roman" w:cs="Times New Roman"/>
          <w:sz w:val="28"/>
          <w:szCs w:val="28"/>
        </w:rPr>
        <w:t>, уровень условно-приемлемого риска (аварии на системах и объектах жизнеобеспечения).</w:t>
      </w:r>
      <w:bookmarkEnd w:id="30"/>
      <w:bookmarkEnd w:id="31"/>
      <w:r w:rsidRPr="00E334E1">
        <w:rPr>
          <w:rFonts w:ascii="Times New Roman" w:eastAsia="Calibri" w:hAnsi="Times New Roman" w:cs="Times New Roman"/>
          <w:sz w:val="28"/>
          <w:szCs w:val="28"/>
        </w:rPr>
        <w:t>»;</w:t>
      </w:r>
    </w:p>
    <w:p w14:paraId="70AC79B9" w14:textId="77777777" w:rsidR="00FA2526" w:rsidRPr="00E334E1" w:rsidRDefault="00FA2526" w:rsidP="00FA2526">
      <w:pPr>
        <w:widowControl w:val="0"/>
        <w:spacing w:after="0" w:line="240" w:lineRule="auto"/>
        <w:ind w:firstLine="720"/>
        <w:jc w:val="both"/>
        <w:rPr>
          <w:rFonts w:ascii="Times New Roman" w:eastAsia="Calibri" w:hAnsi="Times New Roman" w:cs="Times New Roman"/>
          <w:b/>
          <w:sz w:val="28"/>
          <w:szCs w:val="28"/>
        </w:rPr>
      </w:pPr>
      <w:r w:rsidRPr="00E334E1">
        <w:rPr>
          <w:rFonts w:ascii="Times New Roman" w:eastAsia="Calibri" w:hAnsi="Times New Roman" w:cs="Times New Roman"/>
          <w:sz w:val="28"/>
          <w:szCs w:val="28"/>
        </w:rPr>
        <w:t>б) абзац первый – третий подраздела «II. Разгерметизация емкостей с АХОВ»</w:t>
      </w:r>
      <w:r w:rsidRPr="00E334E1">
        <w:rPr>
          <w:rFonts w:ascii="Times New Roman" w:eastAsia="Calibri" w:hAnsi="Times New Roman" w:cs="Times New Roman"/>
          <w:bCs/>
          <w:sz w:val="28"/>
          <w:szCs w:val="28"/>
        </w:rPr>
        <w:t xml:space="preserve"> подраздела 3.1 «Характеристика факторов риска ЧС техногенного характера и воздействия их последствий на территорию поселка</w:t>
      </w:r>
      <w:r w:rsidRPr="00E334E1">
        <w:rPr>
          <w:rFonts w:ascii="Times New Roman" w:eastAsia="Calibri" w:hAnsi="Times New Roman" w:cs="Times New Roman"/>
          <w:bCs/>
          <w:snapToGrid w:val="0"/>
          <w:sz w:val="28"/>
          <w:szCs w:val="28"/>
        </w:rPr>
        <w:t xml:space="preserve">» </w:t>
      </w:r>
      <w:r w:rsidRPr="00E334E1">
        <w:rPr>
          <w:rFonts w:ascii="Times New Roman" w:eastAsia="Calibri" w:hAnsi="Times New Roman" w:cs="Times New Roman"/>
          <w:bCs/>
          <w:sz w:val="28"/>
          <w:szCs w:val="28"/>
        </w:rPr>
        <w:t>изложить в следующей редакции:</w:t>
      </w:r>
    </w:p>
    <w:p w14:paraId="23C6A379"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Calibri" w:hAnsi="Times New Roman" w:cs="Times New Roman"/>
          <w:bCs/>
          <w:sz w:val="28"/>
          <w:szCs w:val="28"/>
        </w:rPr>
        <w:t>«</w:t>
      </w:r>
      <w:r w:rsidRPr="00E334E1">
        <w:rPr>
          <w:rFonts w:ascii="Times New Roman" w:eastAsia="Times New Roman" w:hAnsi="Times New Roman" w:cs="Times New Roman"/>
          <w:kern w:val="2"/>
          <w:sz w:val="28"/>
          <w:szCs w:val="28"/>
          <w:lang w:eastAsia="ru-RU"/>
        </w:rPr>
        <w:t>К объектам, аварии на которых могут привести к образованию зон ЧС на территории посёлка, относятся:</w:t>
      </w:r>
    </w:p>
    <w:p w14:paraId="167A16C7"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автомобильные дороги регионального значения «Курск – Поныри» и «Фатеж – Золотухино»</w:t>
      </w:r>
      <w:bookmarkStart w:id="32" w:name="_Hlk100237200"/>
      <w:r w:rsidRPr="00E334E1">
        <w:rPr>
          <w:rFonts w:ascii="Times New Roman" w:eastAsia="Times New Roman" w:hAnsi="Times New Roman" w:cs="Times New Roman"/>
          <w:kern w:val="2"/>
          <w:sz w:val="28"/>
          <w:szCs w:val="28"/>
          <w:lang w:eastAsia="ru-RU"/>
        </w:rPr>
        <w:t>, по которым перевозятся аварийно химически опасные вещества (АХОВ), аммиак в 6 т. контейнерах каждое.</w:t>
      </w:r>
    </w:p>
    <w:p w14:paraId="64C87E26"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bookmarkStart w:id="33" w:name="_Hlk100237229"/>
      <w:bookmarkEnd w:id="32"/>
      <w:r w:rsidRPr="00E334E1">
        <w:rPr>
          <w:rFonts w:ascii="Times New Roman" w:eastAsia="Times New Roman" w:hAnsi="Times New Roman" w:cs="Times New Roman"/>
          <w:kern w:val="2"/>
          <w:sz w:val="28"/>
          <w:szCs w:val="28"/>
          <w:lang w:eastAsia="ru-RU"/>
        </w:rPr>
        <w:t>железная дорога федерального значения «Москва – Курск – Харьков», по которой возможна транспортировка аварийно химически опасных веществ (АХОВ) хлор, аммиак в 57 т цистернах.»;</w:t>
      </w:r>
    </w:p>
    <w:bookmarkEnd w:id="33"/>
    <w:p w14:paraId="7A9C57EF" w14:textId="77777777" w:rsidR="00FA2526" w:rsidRPr="00E334E1" w:rsidRDefault="00FA2526" w:rsidP="00FA2526">
      <w:pPr>
        <w:widowControl w:val="0"/>
        <w:spacing w:after="0" w:line="240" w:lineRule="auto"/>
        <w:ind w:firstLine="720"/>
        <w:jc w:val="both"/>
        <w:rPr>
          <w:rFonts w:ascii="Times New Roman" w:eastAsia="Calibri" w:hAnsi="Times New Roman" w:cs="Times New Roman"/>
          <w:bCs/>
          <w:sz w:val="28"/>
          <w:szCs w:val="28"/>
        </w:rPr>
      </w:pPr>
      <w:r w:rsidRPr="00E334E1">
        <w:rPr>
          <w:rFonts w:ascii="Times New Roman" w:eastAsia="Calibri" w:hAnsi="Times New Roman" w:cs="Times New Roman"/>
          <w:sz w:val="28"/>
          <w:szCs w:val="28"/>
        </w:rPr>
        <w:t>в) абзацы первый – четвертый подраздела «</w:t>
      </w:r>
      <w:r w:rsidRPr="00E334E1">
        <w:rPr>
          <w:rFonts w:ascii="Times New Roman" w:eastAsia="Calibri" w:hAnsi="Times New Roman" w:cs="Times New Roman"/>
          <w:snapToGrid w:val="0"/>
          <w:sz w:val="28"/>
          <w:szCs w:val="28"/>
        </w:rPr>
        <w:t>III. Аварии с ГСМ и СУГ на ближайших транспортных магистралях, нефтебазах и АЗС»</w:t>
      </w:r>
      <w:r w:rsidRPr="00E334E1">
        <w:rPr>
          <w:rFonts w:ascii="Calibri" w:eastAsia="Calibri" w:hAnsi="Calibri" w:cs="Times New Roman"/>
          <w:snapToGrid w:val="0"/>
          <w:sz w:val="28"/>
          <w:szCs w:val="28"/>
        </w:rPr>
        <w:t xml:space="preserve"> </w:t>
      </w:r>
      <w:r w:rsidRPr="00E334E1">
        <w:rPr>
          <w:rFonts w:ascii="Times New Roman" w:eastAsia="Calibri" w:hAnsi="Times New Roman" w:cs="Times New Roman"/>
          <w:bCs/>
          <w:sz w:val="28"/>
          <w:szCs w:val="28"/>
        </w:rPr>
        <w:t>подраздела 3.1 «Характеристика факторов риска ЧС техногенного характера и воздействия их последствий на территорию поселка</w:t>
      </w:r>
      <w:r w:rsidRPr="00E334E1">
        <w:rPr>
          <w:rFonts w:ascii="Times New Roman" w:eastAsia="Calibri" w:hAnsi="Times New Roman" w:cs="Times New Roman"/>
          <w:bCs/>
          <w:snapToGrid w:val="0"/>
          <w:sz w:val="28"/>
          <w:szCs w:val="28"/>
        </w:rPr>
        <w:t xml:space="preserve">» </w:t>
      </w:r>
      <w:r w:rsidRPr="00E334E1">
        <w:rPr>
          <w:rFonts w:ascii="Times New Roman" w:eastAsia="Calibri" w:hAnsi="Times New Roman" w:cs="Times New Roman"/>
          <w:bCs/>
          <w:sz w:val="28"/>
          <w:szCs w:val="28"/>
        </w:rPr>
        <w:t>изложить в следующей редакции:</w:t>
      </w:r>
    </w:p>
    <w:p w14:paraId="5AE66DC0"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Calibri" w:hAnsi="Times New Roman" w:cs="Times New Roman"/>
          <w:bCs/>
          <w:sz w:val="28"/>
          <w:szCs w:val="28"/>
        </w:rPr>
        <w:t>«</w:t>
      </w:r>
      <w:bookmarkStart w:id="34" w:name="_Hlk98858346"/>
      <w:bookmarkStart w:id="35" w:name="_Hlk98845864"/>
      <w:r w:rsidRPr="00E334E1">
        <w:rPr>
          <w:rFonts w:ascii="Times New Roman" w:eastAsia="Times New Roman" w:hAnsi="Times New Roman" w:cs="Times New Roman"/>
          <w:kern w:val="2"/>
          <w:sz w:val="28"/>
          <w:szCs w:val="28"/>
          <w:lang w:eastAsia="ru-RU"/>
        </w:rPr>
        <w:t>К объектам, аварии на которых могут привести к образованию зон ЧС на территории сельсовета, относятся:</w:t>
      </w:r>
    </w:p>
    <w:p w14:paraId="550D3764"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сеть поселковых газопроводов среднего и низкого давления;</w:t>
      </w:r>
    </w:p>
    <w:p w14:paraId="7712CC98" w14:textId="77777777" w:rsidR="00FA2526" w:rsidRPr="00E334E1" w:rsidRDefault="00FA2526" w:rsidP="00FA2526">
      <w:pPr>
        <w:spacing w:after="0" w:line="240" w:lineRule="auto"/>
        <w:ind w:firstLine="708"/>
        <w:jc w:val="both"/>
        <w:rPr>
          <w:rFonts w:ascii="Times New Roman" w:eastAsia="Times New Roman" w:hAnsi="Times New Roman" w:cs="Times New Roman"/>
          <w:kern w:val="2"/>
          <w:sz w:val="28"/>
          <w:szCs w:val="28"/>
        </w:rPr>
      </w:pPr>
      <w:r w:rsidRPr="00E334E1">
        <w:rPr>
          <w:rFonts w:ascii="Times New Roman" w:eastAsia="Times New Roman" w:hAnsi="Times New Roman" w:cs="Times New Roman"/>
          <w:kern w:val="2"/>
          <w:sz w:val="28"/>
          <w:szCs w:val="28"/>
        </w:rPr>
        <w:t xml:space="preserve">автомобильные дороги регионального значения «Курск – Поныри» и «Фатеж – Золотухино», по которым перевозятся </w:t>
      </w:r>
      <w:bookmarkStart w:id="36" w:name="_Hlk100237329"/>
      <w:r w:rsidRPr="00E334E1">
        <w:rPr>
          <w:rFonts w:ascii="Times New Roman" w:eastAsia="Times New Roman" w:hAnsi="Times New Roman" w:cs="Times New Roman"/>
          <w:kern w:val="2"/>
          <w:sz w:val="28"/>
          <w:szCs w:val="28"/>
        </w:rPr>
        <w:t>ГСМ в автоцистернах – 16300 литров, СУГ в автоцистернах емкостью 8, 10, 11, 20 м</w:t>
      </w:r>
      <w:r w:rsidRPr="00E334E1">
        <w:rPr>
          <w:rFonts w:ascii="Times New Roman" w:eastAsia="Times New Roman" w:hAnsi="Times New Roman" w:cs="Times New Roman"/>
          <w:kern w:val="2"/>
          <w:sz w:val="28"/>
          <w:szCs w:val="28"/>
          <w:vertAlign w:val="superscript"/>
        </w:rPr>
        <w:t>3</w:t>
      </w:r>
      <w:r w:rsidRPr="00E334E1">
        <w:rPr>
          <w:rFonts w:ascii="Times New Roman" w:eastAsia="Times New Roman" w:hAnsi="Times New Roman" w:cs="Times New Roman"/>
          <w:kern w:val="2"/>
          <w:sz w:val="28"/>
          <w:szCs w:val="28"/>
        </w:rPr>
        <w:t>, и другие вещества;</w:t>
      </w:r>
    </w:p>
    <w:bookmarkEnd w:id="36"/>
    <w:p w14:paraId="273FD82F" w14:textId="77777777" w:rsidR="00FA2526" w:rsidRPr="00E334E1" w:rsidRDefault="00FA2526" w:rsidP="00FA2526">
      <w:pPr>
        <w:spacing w:after="0" w:line="240" w:lineRule="auto"/>
        <w:ind w:firstLine="708"/>
        <w:jc w:val="both"/>
        <w:rPr>
          <w:rFonts w:ascii="Times New Roman" w:eastAsia="Times New Roman" w:hAnsi="Times New Roman" w:cs="Times New Roman"/>
          <w:kern w:val="2"/>
          <w:sz w:val="28"/>
          <w:szCs w:val="28"/>
        </w:rPr>
      </w:pPr>
      <w:r w:rsidRPr="00E334E1">
        <w:rPr>
          <w:rFonts w:ascii="Times New Roman" w:eastAsia="Times New Roman" w:hAnsi="Times New Roman" w:cs="Times New Roman"/>
          <w:kern w:val="2"/>
          <w:sz w:val="28"/>
          <w:szCs w:val="28"/>
        </w:rPr>
        <w:t xml:space="preserve">железная дорога «Москва – Курск – Харьков», по которой возможна транспортировка </w:t>
      </w:r>
      <w:bookmarkStart w:id="37" w:name="_Hlk100237348"/>
      <w:r w:rsidRPr="00E334E1">
        <w:rPr>
          <w:rFonts w:ascii="Times New Roman" w:eastAsia="Times New Roman" w:hAnsi="Times New Roman" w:cs="Times New Roman"/>
          <w:kern w:val="2"/>
          <w:sz w:val="28"/>
          <w:szCs w:val="28"/>
        </w:rPr>
        <w:t>ГСМ в ж/д цистернах – 57 т и СУГ в цистернах емкостью 40,5 т и другие вещества.»;</w:t>
      </w:r>
    </w:p>
    <w:bookmarkEnd w:id="34"/>
    <w:bookmarkEnd w:id="35"/>
    <w:bookmarkEnd w:id="37"/>
    <w:p w14:paraId="57554B61"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 xml:space="preserve">г) в наименовании подраздела 3.2 слова «СНиП 2.01.51-90» заменить словами «СП 165.1325800.2014»; </w:t>
      </w:r>
    </w:p>
    <w:p w14:paraId="7E39ACF0"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 xml:space="preserve">д) подраздел «Зоны возможной опасности» подраздела 3.2 «При наложении поражающих факторов военных чрезвычайных ситуаций, в том числе </w:t>
      </w:r>
      <w:proofErr w:type="gramStart"/>
      <w:r w:rsidRPr="00E334E1">
        <w:rPr>
          <w:rFonts w:ascii="Times New Roman" w:eastAsia="Times New Roman" w:hAnsi="Times New Roman" w:cs="Times New Roman"/>
          <w:bCs/>
          <w:sz w:val="28"/>
          <w:szCs w:val="28"/>
          <w:lang w:eastAsia="ru-RU"/>
        </w:rPr>
        <w:t>зон возможной опасности</w:t>
      </w:r>
      <w:proofErr w:type="gramEnd"/>
      <w:r w:rsidRPr="00E334E1">
        <w:rPr>
          <w:rFonts w:ascii="Times New Roman" w:eastAsia="Times New Roman" w:hAnsi="Times New Roman" w:cs="Times New Roman"/>
          <w:bCs/>
          <w:sz w:val="28"/>
          <w:szCs w:val="28"/>
          <w:lang w:eastAsia="ru-RU"/>
        </w:rPr>
        <w:t xml:space="preserve"> предусмотренных СНиП 2.01.51-90» изложить в следующей редакции:</w:t>
      </w:r>
    </w:p>
    <w:p w14:paraId="05AC7830"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bookmarkStart w:id="38" w:name="_Hlk100221657"/>
      <w:r w:rsidRPr="00E334E1">
        <w:rPr>
          <w:rFonts w:ascii="Times New Roman" w:eastAsia="Calibri" w:hAnsi="Times New Roman" w:cs="Times New Roman"/>
          <w:sz w:val="28"/>
          <w:szCs w:val="28"/>
        </w:rPr>
        <w:t xml:space="preserve">Территория поселка не расположена в зоне возможных разрушений территорий городов, отнесенных к группе по ГО; возможного радиоактивного загрязнения в случае общей радиационной аварии на Курской АЭС (Приложение А СП 165.1325800.2014); возможного химического заражения в случае аварии на химически опасных объектах расположенных на территории </w:t>
      </w:r>
      <w:r w:rsidRPr="00E334E1">
        <w:rPr>
          <w:rFonts w:ascii="Times New Roman" w:eastAsia="Calibri" w:hAnsi="Times New Roman" w:cs="Times New Roman"/>
          <w:sz w:val="28"/>
          <w:szCs w:val="28"/>
        </w:rPr>
        <w:lastRenderedPageBreak/>
        <w:t>Курской области; возможного биологического заражения, в связи с отсутствием на территории Курской области биологически опасных объектов; возможного катастрофического затопления.</w:t>
      </w:r>
    </w:p>
    <w:p w14:paraId="448B8CCC" w14:textId="77777777" w:rsidR="00FA2526" w:rsidRPr="00E334E1" w:rsidRDefault="00FA2526" w:rsidP="00FA2526">
      <w:pPr>
        <w:tabs>
          <w:tab w:val="left" w:pos="0"/>
        </w:tabs>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Территория п. Золотухино, расположенная вне зоны возможных разрушений при воздействии обычных средств поражения на объекты (организации), расположена в безопасном районе, вне зоны возможных опасностей.</w:t>
      </w:r>
    </w:p>
    <w:bookmarkEnd w:id="38"/>
    <w:p w14:paraId="38A55343"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На территории поселка расположена 1 организация, отнесенная к категории по гражданской обороне (ОБУЗ «Золотухинская ЦРБ»).»;</w:t>
      </w:r>
    </w:p>
    <w:p w14:paraId="3978136C"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kern w:val="2"/>
          <w:sz w:val="28"/>
          <w:szCs w:val="28"/>
          <w:lang w:eastAsia="ru-RU"/>
        </w:rPr>
        <w:t>е)</w:t>
      </w:r>
      <w:r w:rsidRPr="00E334E1">
        <w:rPr>
          <w:rFonts w:ascii="Times New Roman" w:eastAsia="Times New Roman" w:hAnsi="Times New Roman" w:cs="Times New Roman"/>
          <w:bCs/>
          <w:sz w:val="28"/>
          <w:szCs w:val="28"/>
          <w:lang w:eastAsia="ru-RU"/>
        </w:rPr>
        <w:t xml:space="preserve"> абзацы второй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изложить в следующей редакции:</w:t>
      </w:r>
    </w:p>
    <w:p w14:paraId="4E8DE728"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«сильные ветры со скоростью 10 - 18 м/сек и более;»;</w:t>
      </w:r>
    </w:p>
    <w:p w14:paraId="34E9C9F7"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bCs/>
          <w:sz w:val="28"/>
          <w:szCs w:val="28"/>
          <w:lang w:eastAsia="ru-RU"/>
        </w:rPr>
        <w:t>ж) абзац третий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признать утратившим силу.</w:t>
      </w:r>
    </w:p>
    <w:p w14:paraId="07F5D9CE"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kern w:val="2"/>
          <w:sz w:val="28"/>
          <w:szCs w:val="28"/>
          <w:lang w:eastAsia="ru-RU"/>
        </w:rPr>
        <w:t>з)</w:t>
      </w:r>
      <w:r w:rsidRPr="00E334E1">
        <w:rPr>
          <w:rFonts w:ascii="Times New Roman" w:eastAsia="Times New Roman" w:hAnsi="Times New Roman" w:cs="Times New Roman"/>
          <w:bCs/>
          <w:sz w:val="28"/>
          <w:szCs w:val="28"/>
          <w:lang w:eastAsia="ru-RU"/>
        </w:rPr>
        <w:t xml:space="preserve"> абзацы третий – десятый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изложить в следующей редакции:</w:t>
      </w:r>
    </w:p>
    <w:p w14:paraId="7DB17BD7"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«грозы (4 - 8 часов в год);</w:t>
      </w:r>
    </w:p>
    <w:p w14:paraId="1CE8D64D"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град с диаметром частиц 10 мм;</w:t>
      </w:r>
    </w:p>
    <w:p w14:paraId="2B7210BB"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сильные ливни с интенсивностью 15 мм в час и более;</w:t>
      </w:r>
    </w:p>
    <w:p w14:paraId="51F897B8"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сильные снег с дождем – 15 мм в час;</w:t>
      </w:r>
    </w:p>
    <w:p w14:paraId="48E15A1D"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сильные морозы (минус 28 </w:t>
      </w:r>
      <w:r w:rsidRPr="00E334E1">
        <w:rPr>
          <w:rFonts w:ascii="Times New Roman" w:eastAsia="Times New Roman" w:hAnsi="Times New Roman" w:cs="Times New Roman"/>
          <w:sz w:val="28"/>
          <w:szCs w:val="28"/>
          <w:vertAlign w:val="superscript"/>
          <w:lang w:eastAsia="ru-RU"/>
        </w:rPr>
        <w:t>о</w:t>
      </w:r>
      <w:r w:rsidRPr="00E334E1">
        <w:rPr>
          <w:rFonts w:ascii="Times New Roman" w:eastAsia="Times New Roman" w:hAnsi="Times New Roman" w:cs="Times New Roman"/>
          <w:sz w:val="28"/>
          <w:szCs w:val="28"/>
          <w:lang w:eastAsia="ru-RU"/>
        </w:rPr>
        <w:t>С и ниже);</w:t>
      </w:r>
    </w:p>
    <w:p w14:paraId="084AF670"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снегопады, превышающие 20 мм за 24 часа;</w:t>
      </w:r>
    </w:p>
    <w:p w14:paraId="3EDCC961"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сильная низовая метель при преобладающей скорости ветра более 10 м/сек;</w:t>
      </w:r>
    </w:p>
    <w:p w14:paraId="37266BE6"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вес снежного покрова – 70 кг/м</w:t>
      </w:r>
      <w:r w:rsidRPr="00E334E1">
        <w:rPr>
          <w:rFonts w:ascii="Times New Roman" w:eastAsia="Times New Roman" w:hAnsi="Times New Roman" w:cs="Times New Roman"/>
          <w:sz w:val="28"/>
          <w:szCs w:val="28"/>
          <w:vertAlign w:val="superscript"/>
          <w:lang w:eastAsia="ru-RU"/>
        </w:rPr>
        <w:t>2</w:t>
      </w:r>
      <w:r w:rsidRPr="00E334E1">
        <w:rPr>
          <w:rFonts w:ascii="Times New Roman" w:eastAsia="Times New Roman" w:hAnsi="Times New Roman" w:cs="Times New Roman"/>
          <w:sz w:val="28"/>
          <w:szCs w:val="28"/>
          <w:lang w:eastAsia="ru-RU"/>
        </w:rPr>
        <w:t>;»;</w:t>
      </w:r>
    </w:p>
    <w:p w14:paraId="58063257"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bCs/>
          <w:sz w:val="28"/>
          <w:szCs w:val="28"/>
          <w:lang w:eastAsia="ru-RU"/>
        </w:rPr>
        <w:t>и) абзац одиннадцатый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признать утратившим силу.</w:t>
      </w:r>
    </w:p>
    <w:p w14:paraId="00C62101"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kern w:val="2"/>
          <w:sz w:val="28"/>
          <w:szCs w:val="28"/>
          <w:lang w:eastAsia="ru-RU"/>
        </w:rPr>
        <w:t>к)</w:t>
      </w:r>
      <w:r w:rsidRPr="00E334E1">
        <w:rPr>
          <w:rFonts w:ascii="Times New Roman" w:eastAsia="Times New Roman" w:hAnsi="Times New Roman" w:cs="Times New Roman"/>
          <w:bCs/>
          <w:sz w:val="28"/>
          <w:szCs w:val="28"/>
          <w:lang w:eastAsia="ru-RU"/>
        </w:rPr>
        <w:t xml:space="preserve"> абзацы двенадцатый – четырнадцатый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изложить в следующей редакции:</w:t>
      </w:r>
    </w:p>
    <w:p w14:paraId="4BECDE55"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«сложные отложения и налипания мокрого снега – 22 мм и более;</w:t>
      </w:r>
    </w:p>
    <w:p w14:paraId="591A3AD8"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наибольшая глубина промерзания грунтов на открытой оголенной от снега площадке – 142 см;</w:t>
      </w:r>
    </w:p>
    <w:p w14:paraId="5E505F36"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 xml:space="preserve">сильная и продолжительная жара – температура воздуха плюс 32 </w:t>
      </w:r>
      <w:r w:rsidRPr="00E334E1">
        <w:rPr>
          <w:rFonts w:ascii="Times New Roman" w:eastAsia="Times New Roman" w:hAnsi="Times New Roman" w:cs="Times New Roman"/>
          <w:sz w:val="28"/>
          <w:szCs w:val="28"/>
          <w:vertAlign w:val="superscript"/>
          <w:lang w:eastAsia="ru-RU"/>
        </w:rPr>
        <w:t>о</w:t>
      </w:r>
      <w:r w:rsidRPr="00E334E1">
        <w:rPr>
          <w:rFonts w:ascii="Times New Roman" w:eastAsia="Times New Roman" w:hAnsi="Times New Roman" w:cs="Times New Roman"/>
          <w:sz w:val="28"/>
          <w:szCs w:val="28"/>
          <w:lang w:eastAsia="ru-RU"/>
        </w:rPr>
        <w:t>С и более.»;</w:t>
      </w:r>
    </w:p>
    <w:p w14:paraId="4C61864A"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kern w:val="2"/>
          <w:sz w:val="28"/>
          <w:szCs w:val="28"/>
          <w:lang w:eastAsia="ru-RU"/>
        </w:rPr>
        <w:t>л)</w:t>
      </w:r>
      <w:r w:rsidRPr="00E334E1">
        <w:rPr>
          <w:rFonts w:ascii="Times New Roman" w:eastAsia="Times New Roman" w:hAnsi="Times New Roman" w:cs="Times New Roman"/>
          <w:bCs/>
          <w:sz w:val="28"/>
          <w:szCs w:val="28"/>
          <w:lang w:eastAsia="ru-RU"/>
        </w:rPr>
        <w:t xml:space="preserve"> абзац шестнадцатый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изложить в следующей редакции:</w:t>
      </w:r>
    </w:p>
    <w:p w14:paraId="54699F65" w14:textId="77777777" w:rsidR="00FA2526" w:rsidRPr="00E334E1" w:rsidRDefault="00FA2526" w:rsidP="00FA2526">
      <w:pPr>
        <w:shd w:val="clear" w:color="auto" w:fill="FFFFFF"/>
        <w:spacing w:after="0" w:line="240" w:lineRule="auto"/>
        <w:ind w:firstLine="709"/>
        <w:jc w:val="both"/>
        <w:rPr>
          <w:rFonts w:ascii="Times New Roman" w:eastAsia="Times New Roman" w:hAnsi="Times New Roman" w:cs="Times New Roman"/>
          <w:spacing w:val="-6"/>
          <w:kern w:val="2"/>
          <w:sz w:val="28"/>
          <w:szCs w:val="28"/>
          <w:lang w:eastAsia="ru-RU"/>
        </w:rPr>
      </w:pPr>
      <w:r w:rsidRPr="00E334E1">
        <w:rPr>
          <w:rFonts w:ascii="Times New Roman" w:eastAsia="Times New Roman" w:hAnsi="Times New Roman" w:cs="Times New Roman"/>
          <w:spacing w:val="-6"/>
          <w:kern w:val="2"/>
          <w:sz w:val="28"/>
          <w:szCs w:val="28"/>
          <w:lang w:eastAsia="ru-RU"/>
        </w:rPr>
        <w:lastRenderedPageBreak/>
        <w:t>«Сильный снегопад, сильные ветра, могут привести к поломке опор и обрыву линий электропередач, проводной связи, разрушению оконных проемов, крыш объектов, в том числе – вследствие падения деревьев.»;</w:t>
      </w:r>
    </w:p>
    <w:p w14:paraId="7314CFB6"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kern w:val="2"/>
          <w:sz w:val="28"/>
          <w:szCs w:val="28"/>
          <w:lang w:eastAsia="ru-RU"/>
        </w:rPr>
        <w:t>м)</w:t>
      </w:r>
      <w:r w:rsidRPr="00E334E1">
        <w:rPr>
          <w:rFonts w:ascii="Times New Roman" w:eastAsia="Times New Roman" w:hAnsi="Times New Roman" w:cs="Times New Roman"/>
          <w:bCs/>
          <w:sz w:val="28"/>
          <w:szCs w:val="28"/>
          <w:lang w:eastAsia="ru-RU"/>
        </w:rPr>
        <w:t xml:space="preserve"> подраздел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дополнить абзацами семнадцатым и восемнадцатым следующего содержания:</w:t>
      </w:r>
    </w:p>
    <w:p w14:paraId="00717A26" w14:textId="77777777" w:rsidR="00FA2526" w:rsidRPr="00E334E1" w:rsidRDefault="00FA2526" w:rsidP="00FA2526">
      <w:pPr>
        <w:shd w:val="clear" w:color="auto" w:fill="FFFFFF"/>
        <w:spacing w:after="0" w:line="240" w:lineRule="auto"/>
        <w:ind w:firstLine="709"/>
        <w:jc w:val="both"/>
        <w:rPr>
          <w:rFonts w:ascii="Times New Roman" w:eastAsia="Times New Roman" w:hAnsi="Times New Roman" w:cs="Times New Roman"/>
          <w:spacing w:val="-6"/>
          <w:kern w:val="2"/>
          <w:sz w:val="28"/>
          <w:szCs w:val="28"/>
          <w:lang w:eastAsia="ru-RU"/>
        </w:rPr>
      </w:pPr>
      <w:r w:rsidRPr="00E334E1">
        <w:rPr>
          <w:rFonts w:ascii="Times New Roman" w:eastAsia="Times New Roman" w:hAnsi="Times New Roman" w:cs="Times New Roman"/>
          <w:bCs/>
          <w:sz w:val="28"/>
          <w:szCs w:val="24"/>
          <w:lang w:eastAsia="ru-RU"/>
        </w:rPr>
        <w:t>«</w:t>
      </w:r>
      <w:r w:rsidRPr="00E334E1">
        <w:rPr>
          <w:rFonts w:ascii="Times New Roman" w:eastAsia="Times New Roman" w:hAnsi="Times New Roman" w:cs="Times New Roman"/>
          <w:spacing w:val="-6"/>
          <w:kern w:val="2"/>
          <w:sz w:val="28"/>
          <w:szCs w:val="28"/>
          <w:lang w:eastAsia="ru-RU"/>
        </w:rPr>
        <w:t>На территории поселка ежегодно наблюдается сильный ветер со скоростью ветра (порывами) до 20 м/с, вызывающий различной степени разрушения жилых и производственных зданий (в основном крыш), электрических линий ЛЭП-110, 35, 10, 0,4 кВ, техники, деревьев, посевов с\х культур.</w:t>
      </w:r>
    </w:p>
    <w:p w14:paraId="1C67AF31" w14:textId="77777777" w:rsidR="00FA2526" w:rsidRPr="00E334E1" w:rsidRDefault="00FA2526" w:rsidP="00FA2526">
      <w:pPr>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Показатель приемлемого риска возникновения природных ЧС составляет 0,1х10</w:t>
      </w:r>
      <w:r w:rsidRPr="00E334E1">
        <w:rPr>
          <w:rFonts w:ascii="Times New Roman" w:eastAsia="Times New Roman" w:hAnsi="Times New Roman" w:cs="Times New Roman"/>
          <w:kern w:val="2"/>
          <w:sz w:val="28"/>
          <w:szCs w:val="28"/>
          <w:vertAlign w:val="superscript"/>
          <w:lang w:eastAsia="ru-RU"/>
        </w:rPr>
        <w:t>-5</w:t>
      </w:r>
      <w:r w:rsidRPr="00E334E1">
        <w:rPr>
          <w:rFonts w:ascii="Times New Roman" w:eastAsia="Times New Roman" w:hAnsi="Times New Roman" w:cs="Times New Roman"/>
          <w:kern w:val="2"/>
          <w:sz w:val="28"/>
          <w:szCs w:val="28"/>
          <w:lang w:eastAsia="ru-RU"/>
        </w:rPr>
        <w:t>, уровень условно-приемлемого риска (метеорологические явления, геологические процессы).»;</w:t>
      </w:r>
    </w:p>
    <w:p w14:paraId="50B8A4CC"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4"/>
          <w:lang w:eastAsia="ru-RU"/>
        </w:rPr>
      </w:pPr>
      <w:r w:rsidRPr="00E334E1">
        <w:rPr>
          <w:rFonts w:ascii="Times New Roman" w:eastAsia="Times New Roman" w:hAnsi="Times New Roman" w:cs="Times New Roman"/>
          <w:bCs/>
          <w:sz w:val="28"/>
          <w:szCs w:val="28"/>
          <w:lang w:eastAsia="ru-RU"/>
        </w:rPr>
        <w:t>н) подраздел «Опасные гидрологические явления и процессы» подраздела 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 дополнить абзацами следующего содержания:</w:t>
      </w:r>
    </w:p>
    <w:p w14:paraId="5696FBB7"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«Наиболее опасным фактором для территории объекта территориального планирования является высокий уровень поверхностного стока, следовательно, возникновение явлений плоскостного смыва, эрозионных размывов.</w:t>
      </w:r>
    </w:p>
    <w:p w14:paraId="7943764A"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Для выявления влияния опасных геологических процессов на территории объекта территориального планирования необходимо проведение инженерно- геологических изысканий.</w:t>
      </w:r>
    </w:p>
    <w:p w14:paraId="2C1DFAC8"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В соответствии с постановлением Правительства Российской Федерации от 18.04.2014 № 360 «Об определении границ зон затопление, подтопления» комитетом природных ресурсов Курской области определены границы зон затопления (подтопления) на территории Золотухинского района: поселок Золотухино.</w:t>
      </w:r>
    </w:p>
    <w:p w14:paraId="152A94EA"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Для снижения риска возникновения природных ЧС вследствие воздействия источников ЧС (воздействия весеннего половодья, подтопления территории поверхностными водами при таянии снега и дождях) требуется проектирование мероприятий по инженерной защите территории застройки с учётом пунктов 4.1.1, 4.1.4, 4.4-4.9, 4.14 - 4.20 СП 104.13330.2016.»;</w:t>
      </w:r>
    </w:p>
    <w:p w14:paraId="1D9F88B6" w14:textId="77777777" w:rsidR="00FA2526" w:rsidRPr="00E334E1" w:rsidRDefault="00FA2526" w:rsidP="00FA2526">
      <w:pPr>
        <w:widowControl w:val="0"/>
        <w:spacing w:after="0" w:line="240" w:lineRule="auto"/>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о) абзац двенадцатый подраздела «Ливневые дожди» </w:t>
      </w:r>
      <w:r w:rsidRPr="00E334E1">
        <w:rPr>
          <w:rFonts w:ascii="Times New Roman" w:eastAsia="Calibri" w:hAnsi="Times New Roman" w:cs="Times New Roman"/>
          <w:bCs/>
          <w:snapToGrid w:val="0"/>
          <w:sz w:val="28"/>
          <w:szCs w:val="28"/>
        </w:rPr>
        <w:t xml:space="preserve">подраздела </w:t>
      </w:r>
      <w:r w:rsidRPr="00E334E1">
        <w:rPr>
          <w:rFonts w:ascii="Times New Roman" w:eastAsia="Times New Roman" w:hAnsi="Times New Roman" w:cs="Times New Roman"/>
          <w:bCs/>
          <w:sz w:val="28"/>
          <w:szCs w:val="28"/>
          <w:lang w:eastAsia="ru-RU"/>
        </w:rPr>
        <w:t>3.3 «</w:t>
      </w:r>
      <w:r w:rsidRPr="00E334E1">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поселка»</w:t>
      </w:r>
      <w:r w:rsidRPr="00E334E1">
        <w:rPr>
          <w:rFonts w:ascii="Times New Roman" w:eastAsia="Calibri" w:hAnsi="Times New Roman" w:cs="Times New Roman"/>
          <w:bCs/>
          <w:sz w:val="28"/>
          <w:szCs w:val="28"/>
        </w:rPr>
        <w:t xml:space="preserve"> изложить в следующей редакции:</w:t>
      </w:r>
    </w:p>
    <w:p w14:paraId="0C4C6E56" w14:textId="77777777" w:rsidR="00FA2526" w:rsidRPr="00E334E1" w:rsidRDefault="00FA2526" w:rsidP="00FA2526">
      <w:pPr>
        <w:widowControl w:val="0"/>
        <w:spacing w:line="240" w:lineRule="auto"/>
        <w:ind w:firstLine="720"/>
        <w:contextualSpacing/>
        <w:jc w:val="both"/>
        <w:rPr>
          <w:rFonts w:ascii="Times New Roman" w:eastAsia="Calibri" w:hAnsi="Times New Roman" w:cs="Times New Roman"/>
          <w:snapToGrid w:val="0"/>
          <w:sz w:val="28"/>
          <w:szCs w:val="28"/>
        </w:rPr>
      </w:pPr>
      <w:bookmarkStart w:id="39" w:name="_Hlk98857132"/>
      <w:r w:rsidRPr="00E334E1">
        <w:rPr>
          <w:rFonts w:ascii="Times New Roman" w:eastAsia="Calibri" w:hAnsi="Times New Roman" w:cs="Times New Roman"/>
          <w:snapToGrid w:val="0"/>
          <w:sz w:val="28"/>
          <w:szCs w:val="28"/>
        </w:rPr>
        <w:t>«В соответствии с требованиями СП 20.13330.2016 «СНиП 2.01.07-85* Нагрузки и воздействия» элементы сооружений должны рассчитываться на восприятие ветровых нагрузок при скорости ветра 23 м/с и полностью удовлетворять требованиям для данного климатического района.</w:t>
      </w:r>
      <w:bookmarkEnd w:id="39"/>
      <w:r w:rsidRPr="00E334E1">
        <w:rPr>
          <w:rFonts w:ascii="Times New Roman" w:eastAsia="Calibri" w:hAnsi="Times New Roman" w:cs="Times New Roman"/>
          <w:snapToGrid w:val="0"/>
          <w:sz w:val="28"/>
          <w:szCs w:val="28"/>
        </w:rPr>
        <w:t>»;</w:t>
      </w:r>
    </w:p>
    <w:p w14:paraId="6B317FE7" w14:textId="77777777" w:rsidR="00FA2526" w:rsidRPr="00E334E1" w:rsidRDefault="00FA2526" w:rsidP="00FA2526">
      <w:pPr>
        <w:widowControl w:val="0"/>
        <w:spacing w:after="0" w:line="240" w:lineRule="auto"/>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bCs/>
          <w:sz w:val="28"/>
          <w:szCs w:val="28"/>
        </w:rPr>
        <w:t xml:space="preserve">п) абзацы второй и третий подраздела «Природные пожары» </w:t>
      </w:r>
      <w:r w:rsidRPr="00E334E1">
        <w:rPr>
          <w:rFonts w:ascii="Times New Roman" w:eastAsia="Calibri" w:hAnsi="Times New Roman" w:cs="Times New Roman"/>
          <w:bCs/>
          <w:snapToGrid w:val="0"/>
          <w:sz w:val="28"/>
          <w:szCs w:val="28"/>
        </w:rPr>
        <w:t xml:space="preserve">подраздела </w:t>
      </w:r>
      <w:r w:rsidRPr="00E334E1">
        <w:rPr>
          <w:rFonts w:ascii="Times New Roman" w:eastAsia="Times New Roman" w:hAnsi="Times New Roman" w:cs="Times New Roman"/>
          <w:bCs/>
          <w:sz w:val="28"/>
          <w:szCs w:val="28"/>
          <w:lang w:eastAsia="ru-RU"/>
        </w:rPr>
        <w:t>3.3 «</w:t>
      </w:r>
      <w:r w:rsidRPr="00E334E1">
        <w:rPr>
          <w:rFonts w:ascii="Times New Roman" w:eastAsia="Times New Roman" w:hAnsi="Times New Roman" w:cs="Times New Roman"/>
          <w:bCs/>
          <w:sz w:val="28"/>
          <w:szCs w:val="24"/>
          <w:lang w:eastAsia="ru-RU"/>
        </w:rPr>
        <w:t xml:space="preserve">Характеристика факторов риска ЧС природного характера и воздействия их последствий на территорию поселка» </w:t>
      </w:r>
      <w:r w:rsidRPr="00E334E1">
        <w:rPr>
          <w:rFonts w:ascii="Times New Roman" w:eastAsia="Calibri" w:hAnsi="Times New Roman" w:cs="Times New Roman"/>
          <w:bCs/>
          <w:sz w:val="28"/>
          <w:szCs w:val="28"/>
        </w:rPr>
        <w:t>изложить в следующей редакции:</w:t>
      </w:r>
    </w:p>
    <w:p w14:paraId="6504B6A1" w14:textId="77777777" w:rsidR="00FA2526" w:rsidRPr="00E334E1" w:rsidRDefault="00FA2526" w:rsidP="00FA2526">
      <w:pPr>
        <w:spacing w:line="240" w:lineRule="auto"/>
        <w:ind w:firstLine="709"/>
        <w:jc w:val="both"/>
        <w:rPr>
          <w:rFonts w:ascii="Times New Roman" w:eastAsia="Times New Roman" w:hAnsi="Times New Roman" w:cs="Times New Roman"/>
          <w:kern w:val="2"/>
          <w:sz w:val="28"/>
          <w:szCs w:val="28"/>
        </w:rPr>
      </w:pPr>
      <w:r w:rsidRPr="00E334E1">
        <w:rPr>
          <w:rFonts w:ascii="Times New Roman" w:eastAsia="Calibri" w:hAnsi="Times New Roman" w:cs="Times New Roman"/>
          <w:sz w:val="28"/>
          <w:szCs w:val="28"/>
        </w:rPr>
        <w:lastRenderedPageBreak/>
        <w:t>«</w:t>
      </w:r>
      <w:r w:rsidRPr="00E334E1">
        <w:rPr>
          <w:rFonts w:ascii="Times New Roman" w:eastAsia="Times New Roman" w:hAnsi="Times New Roman" w:cs="Times New Roman"/>
          <w:kern w:val="2"/>
          <w:sz w:val="28"/>
          <w:szCs w:val="28"/>
        </w:rPr>
        <w:t>К возникновению природных пожаров на территории объекта территориального планирования могут привести следующие факторы: расположение на территории лесных массивов смешанного типа, кустарниковой растительности в овражно-балочной сети.</w:t>
      </w:r>
    </w:p>
    <w:p w14:paraId="00DF261E" w14:textId="77777777" w:rsidR="00FA2526" w:rsidRPr="00E334E1" w:rsidRDefault="00FA2526" w:rsidP="00FA2526">
      <w:pPr>
        <w:spacing w:after="0" w:line="240" w:lineRule="auto"/>
        <w:ind w:firstLine="709"/>
        <w:jc w:val="both"/>
        <w:rPr>
          <w:rFonts w:ascii="Times New Roman" w:eastAsia="Times New Roman" w:hAnsi="Times New Roman" w:cs="Times New Roman"/>
          <w:kern w:val="2"/>
          <w:sz w:val="28"/>
          <w:szCs w:val="28"/>
        </w:rPr>
      </w:pPr>
      <w:r w:rsidRPr="00E334E1">
        <w:rPr>
          <w:rFonts w:ascii="Times New Roman" w:eastAsia="Times New Roman" w:hAnsi="Times New Roman" w:cs="Times New Roman"/>
          <w:kern w:val="2"/>
          <w:sz w:val="28"/>
          <w:szCs w:val="28"/>
        </w:rPr>
        <w:t>Переносу огня на территории населённых пунктов объекта территориального планирования может служить возникновение пожаров (палов) пожнивных остатков, травяной и кустарниковой растительности на полях сельхозтоваропроизводителей и в прилегающей овражно-балочной сети.</w:t>
      </w:r>
      <w:r w:rsidRPr="00E334E1">
        <w:rPr>
          <w:rFonts w:ascii="Times New Roman" w:eastAsia="Calibri" w:hAnsi="Times New Roman" w:cs="Times New Roman"/>
          <w:sz w:val="28"/>
          <w:szCs w:val="28"/>
        </w:rPr>
        <w:t>»;</w:t>
      </w:r>
    </w:p>
    <w:p w14:paraId="0BC60865" w14:textId="77777777" w:rsidR="00FA2526" w:rsidRPr="00E334E1" w:rsidRDefault="00FA2526" w:rsidP="00FA2526">
      <w:pPr>
        <w:widowControl w:val="0"/>
        <w:shd w:val="clear" w:color="auto" w:fill="FFFFFF"/>
        <w:spacing w:after="0" w:line="240" w:lineRule="auto"/>
        <w:ind w:firstLine="720"/>
        <w:contextualSpacing/>
        <w:jc w:val="both"/>
        <w:rPr>
          <w:rFonts w:ascii="Times New Roman" w:eastAsia="Calibri" w:hAnsi="Times New Roman" w:cs="Times New Roman"/>
          <w:iCs/>
          <w:sz w:val="28"/>
          <w:szCs w:val="28"/>
        </w:rPr>
      </w:pPr>
      <w:r w:rsidRPr="00E334E1">
        <w:rPr>
          <w:rFonts w:ascii="Times New Roman" w:eastAsia="Calibri" w:hAnsi="Times New Roman" w:cs="Times New Roman"/>
          <w:bCs/>
          <w:iCs/>
          <w:sz w:val="28"/>
          <w:szCs w:val="28"/>
        </w:rPr>
        <w:t>4)</w:t>
      </w:r>
      <w:r w:rsidRPr="00E334E1">
        <w:rPr>
          <w:rFonts w:ascii="Calibri" w:eastAsia="Calibri" w:hAnsi="Calibri" w:cs="Times New Roman"/>
        </w:rPr>
        <w:t> </w:t>
      </w:r>
      <w:r w:rsidRPr="00E334E1">
        <w:rPr>
          <w:rFonts w:ascii="Times New Roman" w:eastAsia="Calibri" w:hAnsi="Times New Roman" w:cs="Times New Roman"/>
          <w:iCs/>
          <w:sz w:val="28"/>
          <w:szCs w:val="28"/>
        </w:rPr>
        <w:t>в разделе 4 «Характеристика существующих ИТМ ГО, предупреждения ЧС, градостроительные и проектные ограничения, предложения и решения обоснования минимизации последствий чрезвычайных ситуаций»;</w:t>
      </w:r>
    </w:p>
    <w:p w14:paraId="473CC6B6" w14:textId="77777777" w:rsidR="00FA2526" w:rsidRPr="00E334E1" w:rsidRDefault="00FA2526" w:rsidP="00FA2526">
      <w:pPr>
        <w:widowControl w:val="0"/>
        <w:shd w:val="clear" w:color="auto" w:fill="FFFFFF"/>
        <w:spacing w:after="0" w:line="240" w:lineRule="auto"/>
        <w:ind w:firstLine="720"/>
        <w:contextualSpacing/>
        <w:jc w:val="both"/>
        <w:rPr>
          <w:rFonts w:ascii="Times New Roman" w:eastAsia="Calibri" w:hAnsi="Times New Roman" w:cs="Times New Roman"/>
          <w:iCs/>
          <w:sz w:val="28"/>
          <w:szCs w:val="28"/>
        </w:rPr>
      </w:pPr>
      <w:r w:rsidRPr="00E334E1">
        <w:rPr>
          <w:rFonts w:ascii="Times New Roman" w:eastAsia="Calibri" w:hAnsi="Times New Roman" w:cs="Times New Roman"/>
          <w:iCs/>
          <w:sz w:val="28"/>
          <w:szCs w:val="28"/>
        </w:rPr>
        <w:t>а) в подразделе «Инженерная подготовка» подраздела 4.4.2 «Градостроительные (проектные) предложения» подраздела 4.1 «Инженерная подготовка и защита территории» абзац одиннадцатый изложить в следующей редакции:</w:t>
      </w:r>
    </w:p>
    <w:p w14:paraId="01A0060E"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Calibri" w:hAnsi="Times New Roman" w:cs="Times New Roman"/>
          <w:iCs/>
          <w:sz w:val="28"/>
          <w:szCs w:val="28"/>
        </w:rPr>
        <w:t>«</w:t>
      </w:r>
      <w:r w:rsidRPr="00E334E1">
        <w:rPr>
          <w:rFonts w:ascii="Times New Roman" w:eastAsia="Times New Roman" w:hAnsi="Times New Roman" w:cs="Times New Roman"/>
          <w:kern w:val="2"/>
          <w:sz w:val="28"/>
          <w:szCs w:val="28"/>
          <w:lang w:eastAsia="ru-RU"/>
        </w:rPr>
        <w:t>По просадочности (длине деформации) земной поверхности территория поселка относится к «0» и «I» группе условий строительства. Планировку и застройку посёлка следует осуществлять в соответствии с требованиями СП 21.13330.2012 «СНиП 2.01.09-91 Здания и сооружения на подрабатываемых территориях и просадочных грунтах».»;</w:t>
      </w:r>
    </w:p>
    <w:p w14:paraId="7314FF48" w14:textId="77777777" w:rsidR="00FA2526" w:rsidRPr="00E334E1" w:rsidRDefault="00FA2526" w:rsidP="00FA2526">
      <w:pPr>
        <w:widowControl w:val="0"/>
        <w:shd w:val="clear" w:color="auto" w:fill="FFFFFF"/>
        <w:spacing w:after="0" w:line="240" w:lineRule="auto"/>
        <w:ind w:firstLine="720"/>
        <w:contextualSpacing/>
        <w:jc w:val="both"/>
        <w:rPr>
          <w:rFonts w:ascii="Times New Roman" w:eastAsia="Calibri" w:hAnsi="Times New Roman" w:cs="Times New Roman"/>
          <w:iCs/>
          <w:sz w:val="28"/>
          <w:szCs w:val="28"/>
        </w:rPr>
      </w:pPr>
      <w:r w:rsidRPr="00E334E1">
        <w:rPr>
          <w:rFonts w:ascii="Times New Roman" w:eastAsia="Times New Roman" w:hAnsi="Times New Roman" w:cs="Times New Roman"/>
          <w:kern w:val="2"/>
          <w:sz w:val="28"/>
          <w:szCs w:val="28"/>
          <w:lang w:eastAsia="ru-RU"/>
        </w:rPr>
        <w:t>б)</w:t>
      </w:r>
      <w:r w:rsidRPr="00E334E1">
        <w:rPr>
          <w:rFonts w:ascii="Times New Roman" w:eastAsia="Calibri" w:hAnsi="Times New Roman" w:cs="Times New Roman"/>
          <w:iCs/>
          <w:sz w:val="28"/>
          <w:szCs w:val="28"/>
        </w:rPr>
        <w:t xml:space="preserve"> в подразделе «Инженерная подготовка» подраздела 4.4.2 «Градостроительные (проектные) предложения» подраздела 4.1 «Инженерная подготовка и защита территории» абзац шестнадцатый изложить в следующей редакции:</w:t>
      </w:r>
    </w:p>
    <w:p w14:paraId="07924FD7"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«Рекультивацию и благоустройство территорий следует разрабатывать с учетом требований ГОСТ Р 59057-2020 «Охрана окружающей среды. Земли. Общие требования по рекультивации нарушенных земель» и ГОСТ 17.5.3.05-84 «Охрана природы. Рекультивация земель. Общие требования к землеванию».»;</w:t>
      </w:r>
    </w:p>
    <w:p w14:paraId="130DB2AA" w14:textId="77777777" w:rsidR="00FA2526" w:rsidRPr="00E334E1" w:rsidRDefault="00FA2526" w:rsidP="00FA2526">
      <w:pPr>
        <w:widowControl w:val="0"/>
        <w:spacing w:after="0" w:line="240" w:lineRule="auto"/>
        <w:ind w:firstLine="709"/>
        <w:contextualSpacing/>
        <w:jc w:val="both"/>
        <w:rPr>
          <w:rFonts w:ascii="Times New Roman" w:eastAsia="Calibri" w:hAnsi="Times New Roman" w:cs="Times New Roman"/>
          <w:sz w:val="28"/>
          <w:szCs w:val="28"/>
        </w:rPr>
      </w:pPr>
      <w:r w:rsidRPr="00E334E1">
        <w:rPr>
          <w:rFonts w:ascii="Times New Roman" w:eastAsia="Calibri" w:hAnsi="Times New Roman" w:cs="Times New Roman"/>
          <w:spacing w:val="-8"/>
          <w:sz w:val="28"/>
          <w:szCs w:val="28"/>
        </w:rPr>
        <w:t>в абзац десятый подраздела «</w:t>
      </w:r>
      <w:r w:rsidRPr="00E334E1">
        <w:rPr>
          <w:rFonts w:ascii="Times New Roman" w:eastAsia="Calibri" w:hAnsi="Times New Roman" w:cs="Times New Roman"/>
          <w:bCs/>
          <w:iCs/>
          <w:spacing w:val="-2"/>
          <w:sz w:val="28"/>
          <w:szCs w:val="28"/>
        </w:rPr>
        <w:t xml:space="preserve">Сооружения и мероприятия для защиты от подтопления» подраздела </w:t>
      </w:r>
      <w:r w:rsidRPr="00E334E1">
        <w:rPr>
          <w:rFonts w:ascii="Times New Roman" w:eastAsia="Calibri" w:hAnsi="Times New Roman" w:cs="Times New Roman"/>
          <w:bCs/>
          <w:iCs/>
          <w:sz w:val="28"/>
          <w:szCs w:val="28"/>
        </w:rPr>
        <w:t>4.4.2 «</w:t>
      </w:r>
      <w:r w:rsidRPr="00E334E1">
        <w:rPr>
          <w:rFonts w:ascii="Times New Roman" w:eastAsia="Calibri" w:hAnsi="Times New Roman" w:cs="Times New Roman"/>
          <w:iCs/>
          <w:sz w:val="28"/>
          <w:szCs w:val="28"/>
        </w:rPr>
        <w:t>Градостроительные (проектные) предложения</w:t>
      </w:r>
      <w:r w:rsidRPr="00E334E1">
        <w:rPr>
          <w:rFonts w:ascii="Times New Roman" w:eastAsia="Calibri" w:hAnsi="Times New Roman" w:cs="Times New Roman"/>
          <w:bCs/>
          <w:iCs/>
          <w:sz w:val="28"/>
          <w:szCs w:val="28"/>
        </w:rPr>
        <w:t xml:space="preserve">» </w:t>
      </w:r>
      <w:r w:rsidRPr="00E334E1">
        <w:rPr>
          <w:rFonts w:ascii="Times New Roman" w:eastAsia="Calibri" w:hAnsi="Times New Roman" w:cs="Times New Roman"/>
          <w:iCs/>
          <w:sz w:val="28"/>
          <w:szCs w:val="28"/>
        </w:rPr>
        <w:t>подраздела 4.1 «Инженерная подготовка и защита территории»</w:t>
      </w:r>
      <w:r w:rsidRPr="00E334E1">
        <w:rPr>
          <w:rFonts w:ascii="Times New Roman" w:eastAsia="Calibri" w:hAnsi="Times New Roman" w:cs="Times New Roman"/>
          <w:sz w:val="28"/>
          <w:szCs w:val="28"/>
        </w:rPr>
        <w:t xml:space="preserve"> изложить в следующей редакции: </w:t>
      </w:r>
    </w:p>
    <w:p w14:paraId="0F8BE925" w14:textId="77777777" w:rsidR="00FA2526" w:rsidRPr="00E334E1" w:rsidRDefault="00FA2526" w:rsidP="00FA2526">
      <w:pPr>
        <w:widowControl w:val="0"/>
        <w:spacing w:after="0" w:line="240" w:lineRule="auto"/>
        <w:ind w:firstLine="709"/>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«Указанные мероприятия должны обеспечивать в соответствии с СП 104.13330.2016 «СНиП 2.06.15-85 Инженерная защита территории от затопления и подтопления»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14:paraId="057BEB90" w14:textId="77777777" w:rsidR="00FA2526" w:rsidRPr="00E334E1" w:rsidRDefault="00FA2526" w:rsidP="00FA2526">
      <w:pPr>
        <w:widowControl w:val="0"/>
        <w:shd w:val="clear" w:color="auto" w:fill="FFFFFF"/>
        <w:spacing w:after="0" w:line="240" w:lineRule="auto"/>
        <w:ind w:firstLine="720"/>
        <w:contextualSpacing/>
        <w:jc w:val="both"/>
        <w:rPr>
          <w:rFonts w:ascii="Times New Roman" w:eastAsia="Calibri" w:hAnsi="Times New Roman" w:cs="Times New Roman"/>
          <w:iCs/>
          <w:sz w:val="28"/>
          <w:szCs w:val="28"/>
        </w:rPr>
      </w:pPr>
      <w:r w:rsidRPr="00E334E1">
        <w:rPr>
          <w:rFonts w:ascii="Times New Roman" w:eastAsia="Calibri" w:hAnsi="Times New Roman" w:cs="Times New Roman"/>
          <w:iCs/>
          <w:sz w:val="28"/>
          <w:szCs w:val="28"/>
        </w:rPr>
        <w:t>г) подраздел 4.4.1 «Характеристика существующих ИТМ ГО, предупреждения ЧС» подраздела 4.1 «Инженерная подготовка и защита территории» считать подразделом 4.1.1 «Характеристика существующих ИТМ ГО, предупреждения ЧС»;</w:t>
      </w:r>
    </w:p>
    <w:p w14:paraId="7E08B2D9" w14:textId="77777777" w:rsidR="00FA2526" w:rsidRPr="00E334E1" w:rsidRDefault="00FA2526" w:rsidP="00FA2526">
      <w:pPr>
        <w:widowControl w:val="0"/>
        <w:shd w:val="clear" w:color="auto" w:fill="FFFFFF"/>
        <w:spacing w:after="0" w:line="240" w:lineRule="auto"/>
        <w:ind w:firstLine="720"/>
        <w:contextualSpacing/>
        <w:jc w:val="both"/>
        <w:rPr>
          <w:rFonts w:ascii="Times New Roman" w:eastAsia="Calibri" w:hAnsi="Times New Roman" w:cs="Times New Roman"/>
          <w:iCs/>
          <w:sz w:val="28"/>
          <w:szCs w:val="28"/>
        </w:rPr>
      </w:pPr>
      <w:r w:rsidRPr="00E334E1">
        <w:rPr>
          <w:rFonts w:ascii="Times New Roman" w:eastAsia="Calibri" w:hAnsi="Times New Roman" w:cs="Times New Roman"/>
          <w:iCs/>
          <w:sz w:val="28"/>
          <w:szCs w:val="28"/>
        </w:rPr>
        <w:lastRenderedPageBreak/>
        <w:t>д) подраздел 4.4.2 «Градостроительные (проектные) предложения» подраздела 4.1 «Инженерная подготовка и защита территории» считать подразделом 4.1.2 «Градостроительные (проектные) предложения»;</w:t>
      </w:r>
    </w:p>
    <w:p w14:paraId="2EC2303C" w14:textId="77777777" w:rsidR="00FA2526" w:rsidRPr="00E334E1" w:rsidRDefault="00FA2526" w:rsidP="00FA2526">
      <w:pPr>
        <w:widowControl w:val="0"/>
        <w:spacing w:after="0" w:line="240" w:lineRule="auto"/>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е) абзац пятый подраздела «Градостроительные (проектные) ограничения (предложения)» подраздела 4.2.2 «Развитие застройки территории» </w:t>
      </w:r>
      <w:r w:rsidRPr="00E334E1">
        <w:rPr>
          <w:rFonts w:ascii="Times New Roman" w:eastAsia="Calibri" w:hAnsi="Times New Roman" w:cs="Times New Roman"/>
          <w:spacing w:val="-2"/>
          <w:sz w:val="28"/>
          <w:szCs w:val="28"/>
        </w:rPr>
        <w:t xml:space="preserve">подраздела </w:t>
      </w:r>
      <w:bookmarkStart w:id="40" w:name="_Hlk110249616"/>
      <w:r w:rsidRPr="00E334E1">
        <w:rPr>
          <w:rFonts w:ascii="Times New Roman" w:eastAsia="Calibri" w:hAnsi="Times New Roman" w:cs="Times New Roman"/>
          <w:bCs/>
          <w:sz w:val="28"/>
          <w:szCs w:val="28"/>
        </w:rPr>
        <w:t>4.2 «</w:t>
      </w:r>
      <w:bookmarkEnd w:id="40"/>
      <w:r w:rsidRPr="00E334E1">
        <w:rPr>
          <w:rFonts w:ascii="Times New Roman" w:eastAsia="Calibri" w:hAnsi="Times New Roman" w:cs="Times New Roman"/>
          <w:bCs/>
          <w:sz w:val="28"/>
          <w:szCs w:val="28"/>
        </w:rPr>
        <w:t xml:space="preserve">Расселение населения, развитие застройки территории и размещения объектов капитального строительства» </w:t>
      </w:r>
      <w:r w:rsidRPr="00E334E1">
        <w:rPr>
          <w:rFonts w:ascii="Times New Roman" w:eastAsia="Calibri" w:hAnsi="Times New Roman" w:cs="Times New Roman"/>
          <w:sz w:val="28"/>
          <w:szCs w:val="28"/>
        </w:rPr>
        <w:t>изложить в следующей редакции:</w:t>
      </w:r>
    </w:p>
    <w:p w14:paraId="6AC13BF2"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bookmarkStart w:id="41" w:name="_Hlk100061417"/>
      <w:r w:rsidRPr="00E334E1">
        <w:rPr>
          <w:rFonts w:ascii="Times New Roman" w:eastAsia="Times New Roman" w:hAnsi="Times New Roman" w:cs="Times New Roman"/>
          <w:kern w:val="2"/>
          <w:sz w:val="28"/>
          <w:szCs w:val="28"/>
          <w:lang w:eastAsia="ru-RU"/>
        </w:rPr>
        <w:t>«При дальнейшей застройке п. Золотухино необходимо по отношению к этажности зданий, плотности застройки учитывать требования пунктов 4.13 - 4.14 СП 165.1325800.2014 «СНиП 2.01.51-90 Инженерно-технические мероприятия по гражданской обороне» в части, касающейся поселений, расположенных в загородной зоне.»;</w:t>
      </w:r>
    </w:p>
    <w:bookmarkEnd w:id="41"/>
    <w:p w14:paraId="12259E11" w14:textId="77777777" w:rsidR="00FA2526" w:rsidRPr="00E334E1" w:rsidRDefault="00FA2526" w:rsidP="00FA2526">
      <w:pPr>
        <w:widowControl w:val="0"/>
        <w:spacing w:after="0" w:line="240" w:lineRule="auto"/>
        <w:ind w:firstLine="709"/>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ж) подраздел «Градостроительные (проектные) ограничения (предложения)» подраздела 4.2.3 «Размещение объектов капитального строительства.» </w:t>
      </w:r>
      <w:r w:rsidRPr="00E334E1">
        <w:rPr>
          <w:rFonts w:ascii="Times New Roman" w:eastAsia="Calibri" w:hAnsi="Times New Roman" w:cs="Times New Roman"/>
          <w:spacing w:val="-2"/>
          <w:sz w:val="28"/>
          <w:szCs w:val="28"/>
        </w:rPr>
        <w:t xml:space="preserve">подраздела </w:t>
      </w:r>
      <w:r w:rsidRPr="00E334E1">
        <w:rPr>
          <w:rFonts w:ascii="Times New Roman" w:eastAsia="Calibri" w:hAnsi="Times New Roman" w:cs="Times New Roman"/>
          <w:bCs/>
          <w:sz w:val="28"/>
          <w:szCs w:val="28"/>
        </w:rPr>
        <w:t xml:space="preserve">4.2 «Расселение населения, развитие застройки территории и размещения объектов капитального строительства» </w:t>
      </w:r>
      <w:r w:rsidRPr="00E334E1">
        <w:rPr>
          <w:rFonts w:ascii="Times New Roman" w:eastAsia="Calibri" w:hAnsi="Times New Roman" w:cs="Times New Roman"/>
          <w:sz w:val="28"/>
          <w:szCs w:val="28"/>
        </w:rPr>
        <w:t xml:space="preserve">изложить в следующей редакции: </w:t>
      </w:r>
      <w:bookmarkStart w:id="42" w:name="_Hlk98855065"/>
    </w:p>
    <w:p w14:paraId="482D9BE9" w14:textId="77777777" w:rsidR="00FA2526" w:rsidRPr="00E334E1" w:rsidRDefault="00FA2526" w:rsidP="00FA2526">
      <w:pPr>
        <w:widowControl w:val="0"/>
        <w:spacing w:after="0" w:line="240" w:lineRule="auto"/>
        <w:ind w:firstLine="720"/>
        <w:jc w:val="both"/>
        <w:rPr>
          <w:rFonts w:ascii="Times New Roman" w:eastAsia="Calibri" w:hAnsi="Times New Roman" w:cs="Times New Roman"/>
          <w:sz w:val="28"/>
          <w:szCs w:val="28"/>
        </w:rPr>
      </w:pPr>
      <w:r w:rsidRPr="00E334E1">
        <w:rPr>
          <w:rFonts w:ascii="Times New Roman" w:eastAsia="Calibri" w:hAnsi="Times New Roman" w:cs="Times New Roman"/>
          <w:b/>
          <w:bCs/>
          <w:sz w:val="28"/>
          <w:szCs w:val="28"/>
        </w:rPr>
        <w:t>«</w:t>
      </w:r>
      <w:r w:rsidRPr="00E334E1">
        <w:rPr>
          <w:rFonts w:ascii="Times New Roman" w:eastAsia="Calibri" w:hAnsi="Times New Roman" w:cs="Times New Roman"/>
          <w:sz w:val="28"/>
          <w:szCs w:val="28"/>
        </w:rPr>
        <w:t>Разработку перечня мероприятий по гражданской обороне в составе проектной документации объектов капитального строительства следует осуществлять в соответствии с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14:paraId="18C31A28" w14:textId="77777777" w:rsidR="00FA2526" w:rsidRPr="00E334E1" w:rsidRDefault="00FA2526" w:rsidP="00FA2526">
      <w:pPr>
        <w:widowControl w:val="0"/>
        <w:spacing w:after="0" w:line="240" w:lineRule="auto"/>
        <w:ind w:firstLine="720"/>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При проектировании, строительстве и эксплуатации объектов использования атомной энергии, опасных производственных объектов, особо опасных, технически сложных и уникальных объектов необходимо учитывать требования пункта 6 СП 165.1325800.2014 «СНиП 2.01.51-90 Инженерно-технические мероприятия по гражданской обороне».</w:t>
      </w:r>
    </w:p>
    <w:p w14:paraId="0FCF2236" w14:textId="77777777" w:rsidR="00FA2526" w:rsidRPr="00E334E1" w:rsidRDefault="00FA2526" w:rsidP="00FA2526">
      <w:pPr>
        <w:widowControl w:val="0"/>
        <w:spacing w:after="0" w:line="240" w:lineRule="auto"/>
        <w:ind w:firstLine="720"/>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Объекты коммунально-бытового назначения, приспосабливаемые для санитарной обработки населения и специальной обработки техники должны соответствовать требованиям пункта 8 СП 165.1325800.2014 «СНиП 2.01.51-90 Инженерно-технические мероприятия по гражданской обороне».</w:t>
      </w:r>
    </w:p>
    <w:p w14:paraId="18603581" w14:textId="77777777" w:rsidR="00FA2526" w:rsidRPr="00E334E1" w:rsidRDefault="00FA2526" w:rsidP="00FA2526">
      <w:pPr>
        <w:widowControl w:val="0"/>
        <w:spacing w:after="0" w:line="240" w:lineRule="auto"/>
        <w:ind w:firstLine="720"/>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Специализированные складские здания (помещения) для хранения имущества гражданской обороны должны соответствовать требованиям пункта 9 СП 165.1325800.2014 «СНиП 2.01.51-90 Инженерно-технические мероприятия по гражданской обороне».</w:t>
      </w:r>
      <w:bookmarkEnd w:id="42"/>
      <w:r w:rsidRPr="00E334E1">
        <w:rPr>
          <w:rFonts w:ascii="Times New Roman" w:eastAsia="Calibri" w:hAnsi="Times New Roman" w:cs="Times New Roman"/>
          <w:sz w:val="28"/>
          <w:szCs w:val="28"/>
        </w:rPr>
        <w:t>»;</w:t>
      </w:r>
    </w:p>
    <w:p w14:paraId="3DF15F12"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
          <w:bCs/>
          <w:sz w:val="28"/>
          <w:szCs w:val="28"/>
          <w:lang w:eastAsia="ru-RU"/>
        </w:rPr>
      </w:pPr>
      <w:r w:rsidRPr="00E334E1">
        <w:rPr>
          <w:rFonts w:ascii="Times New Roman" w:eastAsia="Times New Roman" w:hAnsi="Times New Roman" w:cs="Times New Roman"/>
          <w:sz w:val="28"/>
          <w:szCs w:val="28"/>
          <w:lang w:eastAsia="ru-RU"/>
        </w:rPr>
        <w:t xml:space="preserve">з) подраздел </w:t>
      </w:r>
      <w:r w:rsidRPr="00E334E1">
        <w:rPr>
          <w:rFonts w:ascii="Times New Roman" w:eastAsia="Calibri" w:hAnsi="Times New Roman" w:cs="Times New Roman"/>
          <w:sz w:val="28"/>
          <w:szCs w:val="28"/>
        </w:rPr>
        <w:t xml:space="preserve">«Градостроительные (проектные) ограничения (предложения)» </w:t>
      </w:r>
      <w:r w:rsidRPr="00E334E1">
        <w:rPr>
          <w:rFonts w:ascii="Times New Roman" w:eastAsia="Times New Roman" w:hAnsi="Times New Roman" w:cs="Times New Roman"/>
          <w:sz w:val="28"/>
          <w:szCs w:val="28"/>
          <w:lang w:eastAsia="ru-RU"/>
        </w:rPr>
        <w:t xml:space="preserve">подраздела 4.3.2 «Источники хозяйственно-питьевого водоснабжения и требования к ним» </w:t>
      </w:r>
      <w:r w:rsidRPr="00E334E1">
        <w:rPr>
          <w:rFonts w:ascii="Times New Roman" w:eastAsia="Times New Roman" w:hAnsi="Times New Roman" w:cs="Times New Roman"/>
          <w:spacing w:val="-2"/>
          <w:sz w:val="28"/>
          <w:szCs w:val="28"/>
          <w:lang w:eastAsia="ru-RU"/>
        </w:rPr>
        <w:t xml:space="preserve">подраздела </w:t>
      </w:r>
      <w:r w:rsidRPr="00E334E1">
        <w:rPr>
          <w:rFonts w:ascii="Times New Roman" w:eastAsia="Times New Roman" w:hAnsi="Times New Roman" w:cs="Times New Roman"/>
          <w:sz w:val="28"/>
          <w:szCs w:val="28"/>
          <w:lang w:eastAsia="ru-RU"/>
        </w:rPr>
        <w:t>4.3 «Транспортная и инженерная инфраструктуры» изложить в следующей редакции:</w:t>
      </w:r>
      <w:r w:rsidRPr="00E334E1">
        <w:rPr>
          <w:rFonts w:ascii="Times New Roman" w:eastAsia="Times New Roman" w:hAnsi="Times New Roman" w:cs="Times New Roman"/>
          <w:b/>
          <w:bCs/>
          <w:sz w:val="28"/>
          <w:szCs w:val="28"/>
          <w:lang w:eastAsia="ru-RU"/>
        </w:rPr>
        <w:t xml:space="preserve"> </w:t>
      </w:r>
    </w:p>
    <w:p w14:paraId="6FD8FAC5" w14:textId="77777777" w:rsidR="00FA2526" w:rsidRPr="00E334E1" w:rsidRDefault="00FA2526" w:rsidP="00FA2526">
      <w:pPr>
        <w:tabs>
          <w:tab w:val="left" w:pos="0"/>
        </w:tabs>
        <w:spacing w:after="0" w:line="240" w:lineRule="auto"/>
        <w:jc w:val="center"/>
        <w:rPr>
          <w:rFonts w:ascii="Times New Roman" w:eastAsia="Times New Roman" w:hAnsi="Times New Roman" w:cs="Times New Roman"/>
          <w:b/>
          <w:kern w:val="2"/>
          <w:sz w:val="28"/>
          <w:szCs w:val="28"/>
          <w:lang w:eastAsia="ru-RU"/>
        </w:rPr>
      </w:pPr>
      <w:r w:rsidRPr="00E334E1">
        <w:rPr>
          <w:rFonts w:ascii="Times New Roman" w:eastAsia="Times New Roman" w:hAnsi="Times New Roman" w:cs="Times New Roman"/>
          <w:sz w:val="28"/>
          <w:szCs w:val="28"/>
          <w:lang w:eastAsia="ru-RU"/>
        </w:rPr>
        <w:t>«</w:t>
      </w:r>
      <w:r w:rsidRPr="00E334E1">
        <w:rPr>
          <w:rFonts w:ascii="Times New Roman" w:eastAsia="Times New Roman" w:hAnsi="Times New Roman" w:cs="Times New Roman"/>
          <w:b/>
          <w:kern w:val="2"/>
          <w:sz w:val="28"/>
          <w:szCs w:val="28"/>
          <w:lang w:eastAsia="ru-RU"/>
        </w:rPr>
        <w:t>Градостроительные (проектные) ограничения (предложения)</w:t>
      </w:r>
    </w:p>
    <w:p w14:paraId="72195179" w14:textId="77777777" w:rsidR="00FA2526" w:rsidRPr="00E334E1" w:rsidRDefault="00FA2526" w:rsidP="00FA2526">
      <w:pPr>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bookmarkStart w:id="43" w:name="_Hlk97110749"/>
      <w:r w:rsidRPr="00E334E1">
        <w:rPr>
          <w:rFonts w:ascii="Times New Roman" w:eastAsia="Calibri" w:hAnsi="Times New Roman" w:cs="Times New Roman"/>
          <w:kern w:val="2"/>
          <w:sz w:val="28"/>
          <w:szCs w:val="28"/>
        </w:rPr>
        <w:lastRenderedPageBreak/>
        <w:t>Требуется 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соответствии с положениями пунктов 5.19</w:t>
      </w:r>
      <w:r w:rsidRPr="00E334E1">
        <w:rPr>
          <w:rFonts w:ascii="Times New Roman" w:eastAsia="Calibri" w:hAnsi="Times New Roman" w:cs="Times New Roman"/>
          <w:kern w:val="2"/>
          <w:sz w:val="28"/>
          <w:szCs w:val="28"/>
          <w:lang w:val="en-US"/>
        </w:rPr>
        <w:t> </w:t>
      </w:r>
      <w:r w:rsidRPr="00E334E1">
        <w:rPr>
          <w:rFonts w:ascii="Times New Roman" w:eastAsia="Calibri" w:hAnsi="Times New Roman" w:cs="Times New Roman"/>
          <w:kern w:val="2"/>
          <w:sz w:val="28"/>
          <w:szCs w:val="28"/>
        </w:rPr>
        <w:t>-</w:t>
      </w:r>
      <w:r w:rsidRPr="00E334E1">
        <w:rPr>
          <w:rFonts w:ascii="Times New Roman" w:eastAsia="Calibri" w:hAnsi="Times New Roman" w:cs="Times New Roman"/>
          <w:kern w:val="2"/>
          <w:sz w:val="28"/>
          <w:szCs w:val="28"/>
          <w:lang w:val="en-US"/>
        </w:rPr>
        <w:t> </w:t>
      </w:r>
      <w:r w:rsidRPr="00E334E1">
        <w:rPr>
          <w:rFonts w:ascii="Times New Roman" w:eastAsia="Calibri" w:hAnsi="Times New Roman" w:cs="Times New Roman"/>
          <w:kern w:val="2"/>
          <w:sz w:val="28"/>
          <w:szCs w:val="28"/>
        </w:rPr>
        <w:t>5.35 СП 165.1325800.2014 «СНиП 2.01.51-90 Инженерно-технические мероприятия по гражданской обороне»:</w:t>
      </w:r>
    </w:p>
    <w:p w14:paraId="50577D2D"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Суммарную мощность водозаборных сооружений рассчитывают по нормам мирного времени.</w:t>
      </w:r>
    </w:p>
    <w:p w14:paraId="476A08AE"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 случае выхода из строя одной группы водозаборных сооружений мощность оставшихся сооружений должна обеспечивать подачу воды по аварийному режиму на производственно-технические нужды объектов, а также на хозяйственно-питьевые нужды для численности населения мирного времени по нормам, установленным соответствующими национальными документами по стандартизации.</w:t>
      </w:r>
    </w:p>
    <w:p w14:paraId="49DBD32D"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 зоне возможного радиоактивного загрязнения резервуары питьевой воды следует оборудовать фильтрами-поглотителями для очистки воздуха от радиоактивных веществ.</w:t>
      </w:r>
    </w:p>
    <w:p w14:paraId="114148A1"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Резервуары питьевой воды должны быть расположены за пределами зон возможных сильных разрушений. При размещении резервуаров питьевой воды в зоне возможных сильных разрушений они должны быть предусмотрены в защищенном исполнении.</w:t>
      </w:r>
    </w:p>
    <w:p w14:paraId="108C15D1"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Резервуары питьевой воды должны быть оборудованы герметическими люками и приспособлениями для раздачи воды в передвижную и переносную тару.</w:t>
      </w:r>
    </w:p>
    <w:p w14:paraId="692DB7C8"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определяться: для населения – из расчета не менее 25 л в сутки на одного человека; для сельскохозяйственных животных и птицы – по нормам, устанавливаемым Минсельхозом России.</w:t>
      </w:r>
    </w:p>
    <w:p w14:paraId="19F07117"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проектировании систем водоснабжения тепловых электростанций и атомных станций, расположенных в верхнем или нижнем бьефе гидротехнических сооружений, должна быть предусмотрена возможность технического водоснабжения этих станций при прорыве сооружений напорного фронта гидротехнических сооружений, а также возможность обеспечения устойчивости работы систем водоснабжения.</w:t>
      </w:r>
    </w:p>
    <w:p w14:paraId="382F3561"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проектировании новых и реконструкции действующих водозаборных сооружений, предусмотренных к использованию в военное время, следует применять погружные насосы, сблокированные с электродвигателями.</w:t>
      </w:r>
    </w:p>
    <w:p w14:paraId="061FA2A8"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lastRenderedPageBreak/>
        <w:t>Не менее половины скважин должны быть присоединены к автономным резервным источникам питания электроприемников и иметь устройства для подключения насосов к передвижным электростанциям.</w:t>
      </w:r>
    </w:p>
    <w:p w14:paraId="06AFC766"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Конструкции оголовков действующих и резервных водозаборных сооружений должны обеспечивать их полную герметизацию. Оголовки скважин должны размещаться в колодцах или иных сооружениях, обеспечивающих в необходимых случаях их защиту от фугасного действия обычных средств поражения, вызывающего разрушение зданий, сооружений и коммуникаций.</w:t>
      </w:r>
    </w:p>
    <w:p w14:paraId="208148A8"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подсоединении промышленных предприятий к городским сетям водоснабжения существующие на указанных предприятиях водозаборные сооружения следует герметизировать (консервировать) и сохранять для возможного использования их в качестве резервных источников водоснабжения.</w:t>
      </w:r>
    </w:p>
    <w:p w14:paraId="1ACD1C24"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Водозаборные сооружения, не пригодные к дальнейшему использованию, должны быть тампонированы, а самоизливающиеся водозаборные сооружения – оборудованы регулирующими кранами.</w:t>
      </w:r>
    </w:p>
    <w:p w14:paraId="49BD5304" w14:textId="77777777" w:rsidR="00FA2526" w:rsidRPr="00E334E1" w:rsidRDefault="00FA2526" w:rsidP="00FA2526">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Защиту систем централизованного хозяйственно-питьевого водоснабжения городских округов и поселений, базирующихся на поверхностных источниках водоснабжения, подверженных периодическому или систематическому загрязнению и аварийным сбросам веществ, опасных для жизни и здоровья людей, животных и птицы, следует осуществлять в соответствии с положениями ГОСТ Р 22.6.01 «Безопасность в чрезвычайных ситуациях. Защита систем хозяйственно-питьевого водоснабжения. Общие требования».»;</w:t>
      </w:r>
    </w:p>
    <w:bookmarkEnd w:id="43"/>
    <w:p w14:paraId="7F26944B"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и) подраздел «</w:t>
      </w:r>
      <w:r w:rsidRPr="00E334E1">
        <w:rPr>
          <w:rFonts w:ascii="Times New Roman" w:eastAsia="Times New Roman" w:hAnsi="Times New Roman" w:cs="Times New Roman"/>
          <w:iCs/>
          <w:sz w:val="28"/>
          <w:szCs w:val="28"/>
          <w:lang w:eastAsia="ru-RU"/>
        </w:rPr>
        <w:t xml:space="preserve">Градостроительные (проектные) ограничения (предложения)» подраздела 4.3.3 «Электроснабжение поселения и объектов» </w:t>
      </w:r>
      <w:r w:rsidRPr="00E334E1">
        <w:rPr>
          <w:rFonts w:ascii="Times New Roman" w:eastAsia="Times New Roman" w:hAnsi="Times New Roman" w:cs="Times New Roman"/>
          <w:spacing w:val="-2"/>
          <w:sz w:val="28"/>
          <w:szCs w:val="28"/>
          <w:lang w:eastAsia="ru-RU"/>
        </w:rPr>
        <w:t xml:space="preserve">подраздела </w:t>
      </w:r>
      <w:r w:rsidRPr="00E334E1">
        <w:rPr>
          <w:rFonts w:ascii="Times New Roman" w:eastAsia="Times New Roman" w:hAnsi="Times New Roman" w:cs="Times New Roman"/>
          <w:sz w:val="28"/>
          <w:szCs w:val="28"/>
          <w:lang w:eastAsia="ru-RU"/>
        </w:rPr>
        <w:t>4.3 «Транспортная и инженерная инфраструктуры» изложить в следующей редакции:</w:t>
      </w:r>
    </w:p>
    <w:p w14:paraId="06140B45"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b/>
          <w:kern w:val="2"/>
          <w:sz w:val="28"/>
          <w:szCs w:val="28"/>
          <w:lang w:eastAsia="ru-RU"/>
        </w:rPr>
      </w:pPr>
      <w:r w:rsidRPr="00E334E1">
        <w:rPr>
          <w:rFonts w:ascii="Times New Roman" w:eastAsia="Times New Roman" w:hAnsi="Times New Roman" w:cs="Times New Roman"/>
          <w:bCs/>
          <w:kern w:val="2"/>
          <w:sz w:val="28"/>
          <w:szCs w:val="28"/>
          <w:lang w:eastAsia="ru-RU"/>
        </w:rPr>
        <w:t>«</w:t>
      </w:r>
      <w:r w:rsidRPr="00E334E1">
        <w:rPr>
          <w:rFonts w:ascii="Times New Roman" w:eastAsia="Times New Roman" w:hAnsi="Times New Roman" w:cs="Times New Roman"/>
          <w:b/>
          <w:kern w:val="2"/>
          <w:sz w:val="28"/>
          <w:szCs w:val="28"/>
          <w:lang w:eastAsia="ru-RU"/>
        </w:rPr>
        <w:t>Градостроительные (проектные) ограничения (предложения)</w:t>
      </w:r>
    </w:p>
    <w:p w14:paraId="4A00F9A8" w14:textId="77777777" w:rsidR="00FA2526" w:rsidRPr="00E334E1" w:rsidRDefault="00FA2526" w:rsidP="00FA2526">
      <w:pPr>
        <w:spacing w:after="0" w:line="240" w:lineRule="auto"/>
        <w:ind w:firstLine="709"/>
        <w:jc w:val="both"/>
        <w:rPr>
          <w:rFonts w:ascii="Times New Roman" w:eastAsia="Times New Roman" w:hAnsi="Times New Roman" w:cs="Times New Roman"/>
          <w:kern w:val="2"/>
          <w:sz w:val="28"/>
          <w:szCs w:val="28"/>
        </w:rPr>
      </w:pPr>
      <w:r w:rsidRPr="00E334E1">
        <w:rPr>
          <w:rFonts w:ascii="Times New Roman" w:eastAsia="Times New Roman" w:hAnsi="Times New Roman" w:cs="Times New Roman"/>
          <w:kern w:val="2"/>
          <w:sz w:val="28"/>
          <w:szCs w:val="28"/>
        </w:rPr>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14:paraId="22768696"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требуется учитывать положения пунктов 6.85 - 6.99 СП 165.1325800.2014 «СНиП 2.01.51-90 Инженерно-технические мероприятия по гражданской обороне»:</w:t>
      </w:r>
    </w:p>
    <w:p w14:paraId="3815F931"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Распределительные линии электропередачи энергетических систем напряжением 35 - 110 (220) кВ и более должны быть закольцованы и подключены к нескольким источникам электроснабжения с учетом возможного повреждения отдельных источников, а также должны проходить </w:t>
      </w:r>
      <w:r w:rsidRPr="00E334E1">
        <w:rPr>
          <w:rFonts w:ascii="Times New Roman" w:eastAsia="Calibri" w:hAnsi="Times New Roman" w:cs="Times New Roman"/>
          <w:kern w:val="2"/>
          <w:sz w:val="28"/>
          <w:szCs w:val="28"/>
        </w:rPr>
        <w:lastRenderedPageBreak/>
        <w:t>по разным трассам.</w:t>
      </w:r>
    </w:p>
    <w:p w14:paraId="3E059854"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проектировании систем электроснабжения следует предусматривать возможность применения передвижных электростанций и подстанций.</w:t>
      </w:r>
    </w:p>
    <w:p w14:paraId="77B1ABF3"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 схемах внутриплощадочных электрических сетей организаций-потребителей электроэнергии необходимо предусматривать меры, допускающие дистанционное кратковременное отключение отдельных объектов, периодические и кратковременные перерывы в электроснабжении.»;</w:t>
      </w:r>
    </w:p>
    <w:p w14:paraId="761E7685"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iCs/>
          <w:sz w:val="28"/>
          <w:szCs w:val="28"/>
          <w:lang w:eastAsia="ru-RU"/>
        </w:rPr>
      </w:pPr>
      <w:r w:rsidRPr="00E334E1">
        <w:rPr>
          <w:rFonts w:ascii="Times New Roman" w:eastAsia="Times New Roman" w:hAnsi="Times New Roman" w:cs="Times New Roman"/>
          <w:iCs/>
          <w:sz w:val="28"/>
          <w:szCs w:val="28"/>
          <w:lang w:eastAsia="ru-RU"/>
        </w:rPr>
        <w:t xml:space="preserve">к) абзац второй и третий подраздела «Градостроительные (проектные) ограничения (предложения)» подраздела 4.3.4 «Газоснабжение» </w:t>
      </w:r>
      <w:r w:rsidRPr="00E334E1">
        <w:rPr>
          <w:rFonts w:ascii="Times New Roman" w:eastAsia="Times New Roman" w:hAnsi="Times New Roman" w:cs="Times New Roman"/>
          <w:spacing w:val="-2"/>
          <w:sz w:val="28"/>
          <w:szCs w:val="28"/>
          <w:lang w:eastAsia="ru-RU"/>
        </w:rPr>
        <w:t xml:space="preserve">подраздела </w:t>
      </w:r>
      <w:r w:rsidRPr="00E334E1">
        <w:rPr>
          <w:rFonts w:ascii="Times New Roman" w:eastAsia="Times New Roman" w:hAnsi="Times New Roman" w:cs="Times New Roman"/>
          <w:sz w:val="28"/>
          <w:szCs w:val="28"/>
          <w:lang w:eastAsia="ru-RU"/>
        </w:rPr>
        <w:t>4.3 «Транспортная и инженерная инфраструктуры» изложить в следующей редакции:</w:t>
      </w:r>
    </w:p>
    <w:p w14:paraId="09B5C63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bookmarkStart w:id="44" w:name="_Hlk96677246"/>
      <w:r w:rsidRPr="00E334E1">
        <w:rPr>
          <w:rFonts w:ascii="Times New Roman" w:eastAsia="Calibri" w:hAnsi="Times New Roman" w:cs="Times New Roman"/>
          <w:kern w:val="2"/>
          <w:sz w:val="28"/>
          <w:szCs w:val="28"/>
        </w:rPr>
        <w:t xml:space="preserve">«При проектировании реконструкции, и строительства систем газоснабжения при развитии проектной застройки населённых </w:t>
      </w:r>
      <w:proofErr w:type="gramStart"/>
      <w:r w:rsidRPr="00E334E1">
        <w:rPr>
          <w:rFonts w:ascii="Times New Roman" w:eastAsia="Calibri" w:hAnsi="Times New Roman" w:cs="Times New Roman"/>
          <w:kern w:val="2"/>
          <w:sz w:val="28"/>
          <w:szCs w:val="28"/>
        </w:rPr>
        <w:t>пунктов,  для</w:t>
      </w:r>
      <w:proofErr w:type="gramEnd"/>
      <w:r w:rsidRPr="00E334E1">
        <w:rPr>
          <w:rFonts w:ascii="Times New Roman" w:eastAsia="Calibri" w:hAnsi="Times New Roman" w:cs="Times New Roman"/>
          <w:kern w:val="2"/>
          <w:sz w:val="28"/>
          <w:szCs w:val="28"/>
        </w:rPr>
        <w:t xml:space="preserve"> снижения риска при воздействии поражающих факторов техногенных и военных ЧС, необходимо учитывать положения пунктов 5.36</w:t>
      </w:r>
      <w:r w:rsidRPr="00E334E1">
        <w:rPr>
          <w:rFonts w:ascii="Times New Roman" w:eastAsia="Calibri" w:hAnsi="Times New Roman" w:cs="Times New Roman"/>
          <w:kern w:val="2"/>
          <w:sz w:val="28"/>
          <w:szCs w:val="28"/>
          <w:lang w:val="en-US"/>
        </w:rPr>
        <w:t> </w:t>
      </w:r>
      <w:r w:rsidRPr="00E334E1">
        <w:rPr>
          <w:rFonts w:ascii="Times New Roman" w:eastAsia="Calibri" w:hAnsi="Times New Roman" w:cs="Times New Roman"/>
          <w:kern w:val="2"/>
          <w:sz w:val="28"/>
          <w:szCs w:val="28"/>
        </w:rPr>
        <w:t>-</w:t>
      </w:r>
      <w:r w:rsidRPr="00E334E1">
        <w:rPr>
          <w:rFonts w:ascii="Times New Roman" w:eastAsia="Calibri" w:hAnsi="Times New Roman" w:cs="Times New Roman"/>
          <w:kern w:val="2"/>
          <w:sz w:val="28"/>
          <w:szCs w:val="28"/>
          <w:lang w:val="en-US"/>
        </w:rPr>
        <w:t> </w:t>
      </w:r>
      <w:r w:rsidRPr="00E334E1">
        <w:rPr>
          <w:rFonts w:ascii="Times New Roman" w:eastAsia="Calibri" w:hAnsi="Times New Roman" w:cs="Times New Roman"/>
          <w:kern w:val="2"/>
          <w:sz w:val="28"/>
          <w:szCs w:val="28"/>
        </w:rPr>
        <w:t>5.42 СП</w:t>
      </w:r>
      <w:r w:rsidRPr="00E334E1">
        <w:rPr>
          <w:rFonts w:ascii="Times New Roman" w:eastAsia="Calibri" w:hAnsi="Times New Roman" w:cs="Times New Roman"/>
          <w:kern w:val="2"/>
          <w:sz w:val="28"/>
          <w:szCs w:val="28"/>
          <w:lang w:val="en-US"/>
        </w:rPr>
        <w:t> </w:t>
      </w:r>
      <w:r w:rsidRPr="00E334E1">
        <w:rPr>
          <w:rFonts w:ascii="Times New Roman" w:eastAsia="Calibri" w:hAnsi="Times New Roman" w:cs="Times New Roman"/>
          <w:kern w:val="2"/>
          <w:sz w:val="28"/>
          <w:szCs w:val="28"/>
        </w:rPr>
        <w:t>165.1325800.2014 «СНиП 2.01.51-90 Инженерно-технические мероприятия по гражданской обороне».</w:t>
      </w:r>
    </w:p>
    <w:p w14:paraId="1D8266E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Газоснабжение территории разрабатывается в соответствии с требованиями СП 62.13330.2011 «СНиП 42-01-2002 Газораспределительные системы»; Правил безопасности систем газораспределения и газопотребления, утвержденных приказом Ростехнадзора от 15.12.2020 № 531 и учитывает требования Федерального закона от 21.07.97 № 116-ФЗ «О промышленной безопасности опасных производственных объектов».»;</w:t>
      </w:r>
    </w:p>
    <w:bookmarkEnd w:id="44"/>
    <w:p w14:paraId="2EB3735B" w14:textId="77777777" w:rsidR="00FA2526" w:rsidRPr="00E334E1" w:rsidRDefault="00FA2526" w:rsidP="00FA2526">
      <w:pPr>
        <w:widowControl w:val="0"/>
        <w:spacing w:after="0"/>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л) абзац второй подраздела «Градостроительные (проектные) ограничения (предложения)» подраздела 4.3.5 «Система теплоснабжения» </w:t>
      </w:r>
      <w:r w:rsidRPr="00E334E1">
        <w:rPr>
          <w:rFonts w:ascii="Times New Roman" w:eastAsia="Calibri" w:hAnsi="Times New Roman" w:cs="Times New Roman"/>
          <w:spacing w:val="-2"/>
          <w:sz w:val="28"/>
          <w:szCs w:val="28"/>
        </w:rPr>
        <w:t xml:space="preserve">подраздела </w:t>
      </w:r>
      <w:r w:rsidRPr="00E334E1">
        <w:rPr>
          <w:rFonts w:ascii="Times New Roman" w:eastAsia="Times New Roman" w:hAnsi="Times New Roman" w:cs="Times New Roman"/>
          <w:sz w:val="28"/>
          <w:szCs w:val="28"/>
          <w:lang w:eastAsia="ru-RU"/>
        </w:rPr>
        <w:t>4.3 «Транспортная и инженерная инфраструктуры</w:t>
      </w:r>
      <w:r w:rsidRPr="00E334E1">
        <w:rPr>
          <w:rFonts w:ascii="Times New Roman" w:eastAsia="Calibri" w:hAnsi="Times New Roman" w:cs="Times New Roman"/>
          <w:sz w:val="28"/>
          <w:szCs w:val="28"/>
        </w:rPr>
        <w:t>» изложить в следующей редакции;</w:t>
      </w:r>
    </w:p>
    <w:p w14:paraId="355D3B0F" w14:textId="77777777" w:rsidR="00FA2526" w:rsidRPr="00E334E1" w:rsidRDefault="00FA2526" w:rsidP="00FA2526">
      <w:pPr>
        <w:spacing w:after="0" w:line="240" w:lineRule="auto"/>
        <w:ind w:firstLine="708"/>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«При пересмотре системы теплоснабжения поселка, требуется руководствоваться положениями</w:t>
      </w:r>
      <w:r w:rsidRPr="00E334E1">
        <w:rPr>
          <w:rFonts w:ascii="Times New Roman" w:eastAsia="Calibri" w:hAnsi="Times New Roman" w:cs="Times New Roman"/>
          <w:b/>
          <w:sz w:val="28"/>
          <w:szCs w:val="28"/>
        </w:rPr>
        <w:t xml:space="preserve"> </w:t>
      </w:r>
      <w:r w:rsidRPr="00E334E1">
        <w:rPr>
          <w:rFonts w:ascii="Times New Roman" w:eastAsia="Calibri" w:hAnsi="Times New Roman" w:cs="Times New Roman"/>
          <w:sz w:val="28"/>
          <w:szCs w:val="28"/>
        </w:rPr>
        <w:t>пункта 12.27</w:t>
      </w:r>
      <w:r w:rsidRPr="00E334E1">
        <w:rPr>
          <w:rFonts w:ascii="Times New Roman" w:eastAsia="Calibri" w:hAnsi="Times New Roman" w:cs="Times New Roman"/>
          <w:bCs/>
          <w:sz w:val="28"/>
          <w:szCs w:val="28"/>
        </w:rPr>
        <w:t xml:space="preserve"> </w:t>
      </w:r>
      <w:r w:rsidRPr="00E334E1">
        <w:rPr>
          <w:rFonts w:ascii="Times New Roman" w:eastAsia="Calibri" w:hAnsi="Times New Roman" w:cs="Times New Roman"/>
          <w:sz w:val="28"/>
          <w:szCs w:val="28"/>
        </w:rPr>
        <w:t>СП 42.13330.2016 «СНиП 2.07.01-89* Градостроительство. Планировка и застройка городских и сельских поселений», а также положениями ФЗ-190 «О теплоснабжении»,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14:paraId="54AF6F7C" w14:textId="77777777" w:rsidR="00FA2526" w:rsidRPr="00E334E1" w:rsidRDefault="00FA2526" w:rsidP="00FA2526">
      <w:pPr>
        <w:spacing w:after="0" w:line="240" w:lineRule="auto"/>
        <w:ind w:firstLine="708"/>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м) подраздел «Градостроительные (проектные) ограничения (предложения)» подраздела 4.4.1 «Электросвязь, проводное вещание и телевидение» подраздела 4.4 «Система оповещения населения о чрезвычайных ситуациях и система оповещения ГО» изложить в следующей редакции:</w:t>
      </w:r>
    </w:p>
    <w:p w14:paraId="6954DB5C"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b/>
          <w:kern w:val="2"/>
          <w:sz w:val="28"/>
          <w:szCs w:val="28"/>
          <w:lang w:eastAsia="ru-RU"/>
        </w:rPr>
      </w:pPr>
      <w:r w:rsidRPr="00E334E1">
        <w:rPr>
          <w:rFonts w:ascii="Times New Roman" w:eastAsia="Times New Roman" w:hAnsi="Times New Roman" w:cs="Times New Roman"/>
          <w:bCs/>
          <w:kern w:val="2"/>
          <w:sz w:val="28"/>
          <w:szCs w:val="28"/>
          <w:lang w:eastAsia="ru-RU"/>
        </w:rPr>
        <w:t>«</w:t>
      </w:r>
      <w:r w:rsidRPr="00E334E1">
        <w:rPr>
          <w:rFonts w:ascii="Times New Roman" w:eastAsia="Times New Roman" w:hAnsi="Times New Roman" w:cs="Times New Roman"/>
          <w:b/>
          <w:kern w:val="2"/>
          <w:sz w:val="28"/>
          <w:szCs w:val="28"/>
          <w:lang w:eastAsia="ru-RU"/>
        </w:rPr>
        <w:t>Градостроительные (проектные) ограничения (предложения)</w:t>
      </w:r>
    </w:p>
    <w:p w14:paraId="7770472A"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 xml:space="preserve">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w:t>
      </w:r>
      <w:r w:rsidRPr="00E334E1">
        <w:rPr>
          <w:rFonts w:ascii="Times New Roman" w:eastAsia="Times New Roman" w:hAnsi="Times New Roman" w:cs="Times New Roman"/>
          <w:kern w:val="2"/>
          <w:sz w:val="28"/>
          <w:szCs w:val="28"/>
          <w:lang w:eastAsia="ru-RU"/>
        </w:rPr>
        <w:lastRenderedPageBreak/>
        <w:t>характера (воздушная ударная волна, электромагнитный импульс, сейсмическая волна).</w:t>
      </w:r>
    </w:p>
    <w:p w14:paraId="296701EE" w14:textId="77777777" w:rsidR="00FA2526" w:rsidRPr="00E334E1" w:rsidRDefault="00FA2526" w:rsidP="00FA2526">
      <w:pPr>
        <w:widowControl w:val="0"/>
        <w:spacing w:after="0" w:line="240" w:lineRule="auto"/>
        <w:ind w:firstLine="709"/>
        <w:jc w:val="both"/>
        <w:rPr>
          <w:rFonts w:ascii="Times New Roman" w:eastAsia="Calibri" w:hAnsi="Times New Roman" w:cs="Times New Roman"/>
          <w:snapToGrid w:val="0"/>
          <w:kern w:val="2"/>
          <w:sz w:val="28"/>
          <w:szCs w:val="28"/>
        </w:rPr>
      </w:pPr>
      <w:bookmarkStart w:id="45" w:name="_Hlk100235825"/>
      <w:r w:rsidRPr="00E334E1">
        <w:rPr>
          <w:rFonts w:ascii="Times New Roman" w:eastAsia="Calibri" w:hAnsi="Times New Roman" w:cs="Times New Roman"/>
          <w:kern w:val="2"/>
          <w:sz w:val="28"/>
          <w:szCs w:val="28"/>
        </w:rPr>
        <w:t xml:space="preserve">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сельсовета, необходимо учитывать требования пунктов 6.60 - 6.81 </w:t>
      </w:r>
      <w:r w:rsidRPr="00E334E1">
        <w:rPr>
          <w:rFonts w:ascii="Times New Roman" w:eastAsia="Calibri" w:hAnsi="Times New Roman" w:cs="Times New Roman"/>
          <w:snapToGrid w:val="0"/>
          <w:kern w:val="2"/>
          <w:sz w:val="28"/>
          <w:szCs w:val="28"/>
        </w:rPr>
        <w:t>СП 165.1325800.2014 «</w:t>
      </w:r>
      <w:r w:rsidRPr="00E334E1">
        <w:rPr>
          <w:rFonts w:ascii="Times New Roman" w:eastAsia="Calibri" w:hAnsi="Times New Roman" w:cs="Times New Roman"/>
          <w:kern w:val="2"/>
          <w:sz w:val="28"/>
          <w:szCs w:val="28"/>
        </w:rPr>
        <w:t xml:space="preserve">СНиП 2.01.51-90 </w:t>
      </w:r>
      <w:r w:rsidRPr="00E334E1">
        <w:rPr>
          <w:rFonts w:ascii="Times New Roman" w:eastAsia="Calibri" w:hAnsi="Times New Roman" w:cs="Times New Roman"/>
          <w:snapToGrid w:val="0"/>
          <w:kern w:val="2"/>
          <w:sz w:val="28"/>
          <w:szCs w:val="28"/>
        </w:rPr>
        <w:t>Инженерно-технические мероприятия по гражданской обороне».</w:t>
      </w:r>
    </w:p>
    <w:p w14:paraId="6FC1E20C"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Магистральные кабельные линии связи и магистральные радиорелейные линии связи следует прокладывать вне зон возможных разрушений.</w:t>
      </w:r>
    </w:p>
    <w:p w14:paraId="7C09D759"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Трассы магистральных кабельных линий связи следует проводить также вне зон вероятного катастрофического затопления.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 избегая устройства в этой зоне усилительных (регенерационных) пунктов.</w:t>
      </w:r>
    </w:p>
    <w:p w14:paraId="20976E3D"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Все сетевые узлы следует располагать вне зон возможных разрушений и зон вероятного катастрофического затопления, а также за пределами зон возможного радиоактивного загрязнения и зон возможного химического заражения. Исключение в отдельных случаях допускается только для сетевых узлов выделения.</w:t>
      </w:r>
    </w:p>
    <w:p w14:paraId="6C6CEC34"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Сетевые узлы должны обеспечивать организацию транзитных связей в обход территорий, отнесенных к группам по гражданской обороне, передачу телефонно-телеграфных каналов связи и каналов проводного звукового вещания на оконечные станции взаимосвязанной сети связи страны.</w:t>
      </w:r>
    </w:p>
    <w:p w14:paraId="29AE8320"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Линии передачи, станционные сооружения сетевых узлов первичной сети связи и обслуживающий их персонал следует защищать от поражающих факторов современных средств поражения в соответствии с требованиями, установленными нормативными документами в области электросвязи.</w:t>
      </w:r>
    </w:p>
    <w:p w14:paraId="26E91C66"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 зоне возможного радиоактивного загрязнения здания незащищенных сетевых узлов выделения магистральных кабельных линий связи всех типов, здания обслуживаемых радиорелейных станций, жилые дома всех сетевых узлов следует оборудовать защитными сооружениями гражданской обороны для обслуживающего персонала и членов их семей в порядке, установленном настоящим сводом правил.</w:t>
      </w:r>
    </w:p>
    <w:p w14:paraId="57F32A41"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Магистральные кабельные и радиорелейные линии связи, идущие в одном географическом направлении, следует, как правило, проектировать по разнесенным трассам, не попадающим в одни и те же зоны возможного разрушения или вероятного катастрофического затопления.</w:t>
      </w:r>
    </w:p>
    <w:p w14:paraId="26A8D81B"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Строительство радиорелейных линий связи по трассе магистральной кабельной линии связи допускается при условии распределения между ними пучков организуемых каналов, при этом размещение сетевых узлов единой системы электросвязи и узловых радиорелейных станций следует предусматривать с учетом возможности применения передвижных средств резервирования.</w:t>
      </w:r>
    </w:p>
    <w:p w14:paraId="36774B24"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lastRenderedPageBreak/>
        <w:t xml:space="preserve">По каждой трассе следует предусматривать строительство только одной магистральной кабельной линии связи. Повторная прокладка магистральной кабельной линии связи по одной трассе с существующими магистральными кабельными линиями связи допускается в исключительных случаях </w:t>
      </w:r>
      <w:r w:rsidRPr="00E334E1">
        <w:rPr>
          <w:rFonts w:ascii="Times New Roman" w:eastAsia="Times New Roman" w:hAnsi="Times New Roman" w:cs="Times New Roman"/>
          <w:kern w:val="2"/>
          <w:sz w:val="28"/>
          <w:szCs w:val="28"/>
        </w:rPr>
        <w:t>–</w:t>
      </w:r>
      <w:r w:rsidRPr="00E334E1">
        <w:rPr>
          <w:rFonts w:ascii="Times New Roman" w:eastAsia="Calibri" w:hAnsi="Times New Roman" w:cs="Times New Roman"/>
          <w:kern w:val="2"/>
          <w:sz w:val="28"/>
          <w:szCs w:val="28"/>
        </w:rPr>
        <w:t xml:space="preserve"> при невозможности прокладки новых трасс в заданном направлении.</w:t>
      </w:r>
    </w:p>
    <w:p w14:paraId="198A7AEC"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Переходы магистральных кабельных линий связи через судоходные реки следует предусматривать по двум створам, разнесенным один от другого.</w:t>
      </w:r>
    </w:p>
    <w:p w14:paraId="709A7737"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оперативно-технического управления сети общего пользования единой системы электросвязи.</w:t>
      </w:r>
    </w:p>
    <w:p w14:paraId="70DC5DC2"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проектировании ведомственных первичных сетей следует предусматривать их увязку с сетью общего пользования единой системы электросвязи путем организации соединительных линий между ведомственными узлами и близлежащими сетевыми узлами связи единой системы электросвязи.</w:t>
      </w:r>
    </w:p>
    <w:p w14:paraId="5105C127"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сетевых узлах следует предусматривать возможность установки оборудования службы оперативно-технического управления и резерв площадей и электропитающих устройств для организации, при необходимости, дополнительных каналов связи к объектам военного назначения и объектам федерального органа исполнительной власти, уполномоченного на решение задач в области обеспечения безопасности.</w:t>
      </w:r>
    </w:p>
    <w:p w14:paraId="64CFE1BD"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каждую 1000 км трассы кабельной или радиорелейной магистральной линии связи следует предусматривать шесть передвижных радиорелейных станций, используемых в качестве вставок при восстановлении поврежденных линий, и один спецгараж для них с помещением для хранения резервных кабелей. Спецгараж следует располагать на площадке одного из сетевых узлов данной линии, расположенного вне зон возможных разрушений.</w:t>
      </w:r>
    </w:p>
    <w:p w14:paraId="1613F112"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возможности подключения подвижных средств связи к сетевым узлам на их территории следует предусматривать выносной коммутационный шкаф, соединенный с линейно-аппаратным цехом симметричными или коаксиальными линейными кабелями.</w:t>
      </w:r>
    </w:p>
    <w:p w14:paraId="1613F81D"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Передающие и приемные радиостанции (радиоцентры), узловые станции магистральных радиорелейных линий (прямой видимости и тропосферного рассеяния) и наземные станции космической связи с выделением телефонных каналов, а также радиобюро, приемные и передающие радиостанции следует размещать вне зон возможных разрушений и зон вероятного катастрофического затопления.</w:t>
      </w:r>
    </w:p>
    <w:p w14:paraId="17222955"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При проектировании или реконструкции новых сетей связи в зонах возможных разрушений и вероятного катастрофического затопления следует предусматривать возможность оперативного развертывания средств радиотелефонной связи во взаимодействии с мобильными средствами </w:t>
      </w:r>
      <w:r w:rsidRPr="00E334E1">
        <w:rPr>
          <w:rFonts w:ascii="Times New Roman" w:eastAsia="Calibri" w:hAnsi="Times New Roman" w:cs="Times New Roman"/>
          <w:kern w:val="2"/>
          <w:sz w:val="28"/>
          <w:szCs w:val="28"/>
        </w:rPr>
        <w:lastRenderedPageBreak/>
        <w:t>радиорелейной и спутниковой связи.</w:t>
      </w:r>
    </w:p>
    <w:p w14:paraId="14986F95"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имеющих федеральное и оборонное значение передающих и приемных радиостанций (радиоцентров) в запасных пунктах управления следует предусматривать необходимое количество резервных быстро разворачиваемых антенн, а также установку:</w:t>
      </w:r>
    </w:p>
    <w:p w14:paraId="36FD6878"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не менее двух коротковолновых передатчиков общей мощностью 20 кВт - для передающих радиостанций (радиоцентров);</w:t>
      </w:r>
    </w:p>
    <w:p w14:paraId="329D860E"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не менее 10 % от общего числа радиоприемников с автономными источниками электроснабжения </w:t>
      </w:r>
      <w:r w:rsidRPr="00E334E1">
        <w:rPr>
          <w:rFonts w:ascii="Times New Roman" w:eastAsia="Times New Roman" w:hAnsi="Times New Roman" w:cs="Times New Roman"/>
          <w:kern w:val="2"/>
          <w:sz w:val="28"/>
          <w:szCs w:val="28"/>
        </w:rPr>
        <w:t>–</w:t>
      </w:r>
      <w:r w:rsidRPr="00E334E1">
        <w:rPr>
          <w:rFonts w:ascii="Times New Roman" w:eastAsia="Calibri" w:hAnsi="Times New Roman" w:cs="Times New Roman"/>
          <w:kern w:val="2"/>
          <w:sz w:val="28"/>
          <w:szCs w:val="28"/>
        </w:rPr>
        <w:t xml:space="preserve"> для приемных радиостанций (радиоцентров).</w:t>
      </w:r>
    </w:p>
    <w:p w14:paraId="602CA558"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Мощность этих источников электроснабжения определяют потреблением электроэнергии указанным оборудованием.</w:t>
      </w:r>
    </w:p>
    <w:p w14:paraId="2BD00E24"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Городские сети проводного радиовещания должны обеспечивать устойчивую работу систем оповещения.</w:t>
      </w:r>
    </w:p>
    <w:p w14:paraId="67BB4781"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Радиотрансляционные сети городских округов и поселений должны иметь (по согласованию с территориальным органом федерального органа исполнительной власти, уполномоченного на решение задач в области гражданской обороны) требуемое по расчету число уличных громкоговорителей для внешнего оповещения населения.»;</w:t>
      </w:r>
    </w:p>
    <w:p w14:paraId="16B30432" w14:textId="77777777" w:rsidR="00FA2526" w:rsidRPr="00E334E1" w:rsidRDefault="00FA2526" w:rsidP="00FA2526">
      <w:pPr>
        <w:spacing w:after="0" w:line="240" w:lineRule="auto"/>
        <w:ind w:firstLine="708"/>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н) подраздел 4.4.3 «Система оповещения ГО» подраздела 4.4 «Система оповещения населения о чрезвычайных ситуациях и система оповещения ГО» дополнить абзацами вторым – шестым следующего содержания:</w:t>
      </w:r>
    </w:p>
    <w:p w14:paraId="6CB4ADF4"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«На данный момент на территории поселка оборудована 8 электросиренами ЭС-40, почти полностью покрывающими территорию населенных пунктов. Радиус эффективного оповещения населения электросиренами ЭС-40 составляет:</w:t>
      </w:r>
    </w:p>
    <w:p w14:paraId="6A8267E4"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в малых населенных пунктах – радиус 700 м;</w:t>
      </w:r>
    </w:p>
    <w:p w14:paraId="27D89894"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вблизи автомобильных дорог – радиус 500 м;</w:t>
      </w:r>
    </w:p>
    <w:p w14:paraId="3B623E2E"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вблизи железной дороги – радиус 300 м;</w:t>
      </w:r>
    </w:p>
    <w:p w14:paraId="42F85170"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sz w:val="28"/>
          <w:szCs w:val="28"/>
          <w:lang w:eastAsia="ru-RU"/>
        </w:rPr>
      </w:pPr>
      <w:r w:rsidRPr="00E334E1">
        <w:rPr>
          <w:rFonts w:ascii="Times New Roman" w:eastAsia="Times New Roman" w:hAnsi="Times New Roman" w:cs="Times New Roman"/>
          <w:sz w:val="28"/>
          <w:szCs w:val="28"/>
          <w:lang w:eastAsia="ru-RU"/>
        </w:rPr>
        <w:t>в крупных городах (больше скопление автомобилей) – радиус 300 м.»;</w:t>
      </w:r>
    </w:p>
    <w:p w14:paraId="4B5910A6" w14:textId="77777777" w:rsidR="00FA2526" w:rsidRPr="00E334E1" w:rsidRDefault="00FA2526" w:rsidP="00FA2526">
      <w:pPr>
        <w:spacing w:after="0" w:line="240" w:lineRule="auto"/>
        <w:ind w:firstLine="708"/>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о) в подразделе 4.4.3 «Система оповещения ГО» подраздела 4.4 «Система оповещения населения о чрезвычайных ситуациях и система оповещения ГО» таблицу 29 «Характеристика системы оповещения ГО» признать утратившей силу.;</w:t>
      </w:r>
    </w:p>
    <w:p w14:paraId="32E09DC7" w14:textId="77777777" w:rsidR="00FA2526" w:rsidRPr="00E334E1" w:rsidRDefault="00FA2526" w:rsidP="00FA2526">
      <w:pPr>
        <w:spacing w:after="0" w:line="240" w:lineRule="auto"/>
        <w:ind w:firstLine="708"/>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п) подраздел «Градостроительные (проектные) ограничения (предложения)» подраздела 4.4.3 «Система оповещения ГО» подраздела 4.4 «Система оповещения населения о чрезвычайных ситуациях и система оповещения ГО» изложить в следующей редакции:</w:t>
      </w:r>
    </w:p>
    <w:p w14:paraId="6E119D3A" w14:textId="77777777" w:rsidR="00FA2526" w:rsidRPr="00E334E1" w:rsidRDefault="00FA2526" w:rsidP="00FA2526">
      <w:pPr>
        <w:tabs>
          <w:tab w:val="left" w:pos="0"/>
        </w:tabs>
        <w:spacing w:after="0" w:line="240" w:lineRule="auto"/>
        <w:ind w:firstLine="709"/>
        <w:jc w:val="both"/>
        <w:rPr>
          <w:rFonts w:ascii="Times New Roman" w:eastAsia="Calibri" w:hAnsi="Times New Roman" w:cs="Times New Roman"/>
          <w:b/>
          <w:bCs/>
          <w:sz w:val="28"/>
          <w:szCs w:val="28"/>
        </w:rPr>
      </w:pPr>
      <w:r w:rsidRPr="00E334E1">
        <w:rPr>
          <w:rFonts w:ascii="Times New Roman" w:eastAsia="Calibri" w:hAnsi="Times New Roman" w:cs="Times New Roman"/>
          <w:sz w:val="28"/>
          <w:szCs w:val="28"/>
        </w:rPr>
        <w:t>«</w:t>
      </w:r>
      <w:r w:rsidRPr="00E334E1">
        <w:rPr>
          <w:rFonts w:ascii="Times New Roman" w:eastAsia="Calibri" w:hAnsi="Times New Roman" w:cs="Times New Roman"/>
          <w:b/>
          <w:bCs/>
          <w:sz w:val="28"/>
          <w:szCs w:val="28"/>
        </w:rPr>
        <w:t>Градостроительные (проектные) ограничения (предложения)</w:t>
      </w:r>
    </w:p>
    <w:p w14:paraId="34C9B448"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Система оповещения руководящего состава, органов управления ГОЧС, населения и сил ГО по сигналам ГО должна обеспечить оперативное и своевременное доведение сигналов и информации гражданской обороны до:</w:t>
      </w:r>
    </w:p>
    <w:p w14:paraId="3915EB86"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органов управления;</w:t>
      </w:r>
    </w:p>
    <w:p w14:paraId="18F94475"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руководящего состава ГО и РСЧС;</w:t>
      </w:r>
    </w:p>
    <w:p w14:paraId="2DC3E8A3"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lastRenderedPageBreak/>
        <w:t>формирований ГО;</w:t>
      </w:r>
    </w:p>
    <w:p w14:paraId="4FC08E87"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населения.</w:t>
      </w:r>
    </w:p>
    <w:p w14:paraId="2928BEAA"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В том числе:</w:t>
      </w:r>
    </w:p>
    <w:p w14:paraId="1B274FA2"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прием сообщений из автоматизированной системы централизованного оповещения населения Курской области;</w:t>
      </w:r>
    </w:p>
    <w:p w14:paraId="4E26C574"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подачу предупредительного сигнала «Внимание всем!», сигналов управления и оповещения ГО;</w:t>
      </w:r>
    </w:p>
    <w:p w14:paraId="4071D78B"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доведение информации до работающих на объектах экономики.</w:t>
      </w:r>
    </w:p>
    <w:p w14:paraId="6A66D89E"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Сети проводного вещания в своём составе предусматривают:</w:t>
      </w:r>
    </w:p>
    <w:p w14:paraId="06911F89"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кабельные линии связи;</w:t>
      </w:r>
    </w:p>
    <w:p w14:paraId="08738119"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подвижные средства резервирования стационарных устройств;</w:t>
      </w:r>
    </w:p>
    <w:p w14:paraId="522C43A5"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резервные подвижные средства оповещения сетей проводного вещания.</w:t>
      </w:r>
    </w:p>
    <w:p w14:paraId="072BE730"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Радиотрансляционная сеть должна иметь требуемое по расчёту число громкоговорящих средств оповещения населения.</w:t>
      </w:r>
    </w:p>
    <w:p w14:paraId="3A50D289"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Организация оповещения жителей, не включенных в систему централизованного оповещения, может осуществляться патрульными машинами ОВД, оборудованные громкоговорящими устройствами, выделяемые по плану взаимодействия</w:t>
      </w:r>
    </w:p>
    <w:p w14:paraId="49A9B12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bookmarkStart w:id="46" w:name="_Hlk97110450"/>
      <w:r w:rsidRPr="00E334E1">
        <w:rPr>
          <w:rFonts w:ascii="Times New Roman" w:eastAsia="Calibri" w:hAnsi="Times New Roman" w:cs="Times New Roman"/>
          <w:kern w:val="2"/>
          <w:sz w:val="28"/>
          <w:szCs w:val="28"/>
        </w:rPr>
        <w:t>Требуется проектирование и строительство системы оповещения ГО на территории сельсовета (сирена ЭС-40 или ВАУ) с включением в АСЦО области через ЕДДС Золотухинского района с учетом «Положения о системах оповещения населения, утвержденного совместным приказом МЧС России и Минцифры России от 31.07.2020 № 578/365, в том числе с соблюдением требований следующих пунктов  СП 165.1325800.2014:</w:t>
      </w:r>
    </w:p>
    <w:p w14:paraId="0DFE07C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оповещения населения об опасностях, возникающих при ведении военных действий или вследствие этих действий, а также при чрезвычайных ситуациях должны быть созданы технические системы оповещения:</w:t>
      </w:r>
    </w:p>
    <w:p w14:paraId="657D1244"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федеральном уровне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федеральная система оповещения (на территории Российской Федерации);</w:t>
      </w:r>
    </w:p>
    <w:p w14:paraId="0A32A4A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межрегиональном уровне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межрегиональная система оповещения (на территории федерального округа);</w:t>
      </w:r>
    </w:p>
    <w:p w14:paraId="53E36E5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региональном уровне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региональная система оповещения (на территории субъекта Российской Федерации);</w:t>
      </w:r>
    </w:p>
    <w:p w14:paraId="570DBB8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муниципальном уровне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местная система оповещения (на территории муниципального образования);</w:t>
      </w:r>
    </w:p>
    <w:p w14:paraId="44DF15E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объектовом уровне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объектовые, на опасных производственных объектах классов опасности I и II, особо радиационно-опасных объектах, ядерно-опасных производственных объектах, гидротехнических сооружениях чрезвычайно высокой и высокой опасности, в случае, если последствия потенциальных аварий на указанных объектах могут выходить за пределы их территории и причинять вред жизни и здоровью населения, проживающего или осуществляющего хозяйственную деятельность в районах размещения этих объектов, - локальные системы оповещения, создаваемые в порядке, установленном законодательством Российской Федерации в области </w:t>
      </w:r>
      <w:r w:rsidRPr="00E334E1">
        <w:rPr>
          <w:rFonts w:ascii="Times New Roman" w:eastAsia="Calibri" w:hAnsi="Times New Roman" w:cs="Times New Roman"/>
          <w:kern w:val="2"/>
          <w:sz w:val="28"/>
          <w:szCs w:val="28"/>
        </w:rPr>
        <w:lastRenderedPageBreak/>
        <w:t>гражданской обороны и защиты населения и территорий от чрезвычайных ситуаций.</w:t>
      </w:r>
    </w:p>
    <w:p w14:paraId="3D58618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Системы оповещения предназначены для:</w:t>
      </w:r>
    </w:p>
    <w:p w14:paraId="02A1BE94"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доведения до органов управления и сил гражданской обороны сигналов (распоряжений) о введении установленных степеней готовности;</w:t>
      </w:r>
    </w:p>
    <w:p w14:paraId="1218DB0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циркулярного оповещения должностных лиц по служебным и квартирным телефонам сети связи общего пользования и ведомственным сетям связи;</w:t>
      </w:r>
    </w:p>
    <w:p w14:paraId="5E977C4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подачи универсального сигнала «Внимание всем!» (в мирное время) и сигнала «Воздушная тревога!» (в военное время) с помощью электросирен, сигнально громкоговорящих установок, громкоговорителей и доведение сигналов и информации оповещения до населения и органов управления;</w:t>
      </w:r>
    </w:p>
    <w:p w14:paraId="74878D6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переключения сетей проводного, теле- и радиовещания для передачи речевых сообщений и информирования населения с городских и загородных запасных пунктов управления.</w:t>
      </w:r>
    </w:p>
    <w:p w14:paraId="0F47970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обеспечения надежного оповещения должно быть предусмотрено:</w:t>
      </w:r>
    </w:p>
    <w:p w14:paraId="487AE59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управление системами с городского, загородного и подвижного пунктов управления (кроме объектовой системы оповещения);</w:t>
      </w:r>
    </w:p>
    <w:p w14:paraId="2DC725E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размещение центров (пунктов) управления оповещением в помещениях, защищенных от воздействия опасных факторов чрезвычайных ситуаций мирного и военного времени в соответствии с требованиями нормативных технических документов гражданской обороны;</w:t>
      </w:r>
    </w:p>
    <w:p w14:paraId="4C05EA6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автономное (децентрализованное) управление муниципальными, локальными и объектовыми системами оповещения;</w:t>
      </w:r>
    </w:p>
    <w:p w14:paraId="19FE694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прием и передача сигналов управления по территориально разнесенным каналам связи, в различных системах передачи;</w:t>
      </w:r>
    </w:p>
    <w:p w14:paraId="501AA0C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размещение, используемых в интересах оповещения центров (студий) теле- и радиовещания, средств связи и аппаратуры оповещения, на запасных пунктах управления органов исполнительной власти субъектов Российской Федерации и организаций, разрабатываемых в соответствии с требованиями нормативных технических документов Главного управления специальных программ Президента Российской Федерации;</w:t>
      </w:r>
    </w:p>
    <w:p w14:paraId="28973BD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создание и использование запасов мобильных средств оповещения.</w:t>
      </w:r>
    </w:p>
    <w:p w14:paraId="4CDFE53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E334E1">
        <w:rPr>
          <w:rFonts w:ascii="Times New Roman" w:eastAsia="Calibri" w:hAnsi="Times New Roman" w:cs="Times New Roman"/>
          <w:b/>
          <w:bCs/>
          <w:kern w:val="2"/>
          <w:sz w:val="28"/>
          <w:szCs w:val="28"/>
        </w:rPr>
        <w:t>Требования к функциям (задачам), выполняемым системами оповещения</w:t>
      </w:r>
    </w:p>
    <w:p w14:paraId="4468A88C"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Комплексы технических средств оповещения должны обеспечивать:</w:t>
      </w:r>
    </w:p>
    <w:p w14:paraId="7E16E696"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подготовку и хранение речевых и буквенно-цифровых сообщений, программ оповещения, вариантов (сценариев) и режимов запуска систем оповещения;</w:t>
      </w:r>
    </w:p>
    <w:p w14:paraId="4F98FFA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формирование, передачу и прием информации оповещения (формализованных сигналов), речевых и буквенно-цифровых сообщений;</w:t>
      </w:r>
    </w:p>
    <w:p w14:paraId="3B93962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дистанционное управление средствами оповещения населения, должностных лиц и органов управления;</w:t>
      </w:r>
    </w:p>
    <w:p w14:paraId="27F37D9B"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управление с не менее трех центров (пунктов) оповещения одного </w:t>
      </w:r>
      <w:r w:rsidRPr="00E334E1">
        <w:rPr>
          <w:rFonts w:ascii="Times New Roman" w:eastAsia="Calibri" w:hAnsi="Times New Roman" w:cs="Times New Roman"/>
          <w:kern w:val="2"/>
          <w:sz w:val="28"/>
          <w:szCs w:val="28"/>
        </w:rPr>
        <w:lastRenderedPageBreak/>
        <w:t>уровня в соответствии с установленной системой приоритетов;</w:t>
      </w:r>
    </w:p>
    <w:p w14:paraId="4326625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взаимное уведомление центров (пунктов) оповещения одного уровня о задействовании сети оповещения;</w:t>
      </w:r>
    </w:p>
    <w:p w14:paraId="3296DAC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приоритеты сигналам оповещения по отношению к работе пользователей отбираемого канала и вышестоящим инстанциям по отношению к нижестоящим;</w:t>
      </w:r>
    </w:p>
    <w:p w14:paraId="6053C8D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документирование на электронном носителе и печатающем устройстве ПЭВМ процесса оповещения и действий оперативного дежурного.</w:t>
      </w:r>
    </w:p>
    <w:p w14:paraId="094D34C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Ввод информации в систему должен осуществляться:</w:t>
      </w:r>
    </w:p>
    <w:p w14:paraId="71ED969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 ПЭВМ (пульта управления)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формализованных сигналов оповещения, заранее заготовленной или оперативно набираемой буквенно-цифровой информации, предварительно заготовленной речевой информации;</w:t>
      </w:r>
    </w:p>
    <w:p w14:paraId="42B828A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 микрофона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оперативной речевой информации.</w:t>
      </w:r>
    </w:p>
    <w:p w14:paraId="2DFD69A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Адресование информации в системе:</w:t>
      </w:r>
    </w:p>
    <w:p w14:paraId="6DCB590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циркулярное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всем абонентам системы;</w:t>
      </w:r>
    </w:p>
    <w:p w14:paraId="2D242DB4"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программное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по заранее заготовленным спискам;</w:t>
      </w:r>
    </w:p>
    <w:p w14:paraId="5FFA0E1B"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избирательное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пределах одной ступени;</w:t>
      </w:r>
    </w:p>
    <w:p w14:paraId="16FC191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избирательное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через ступень.</w:t>
      </w:r>
    </w:p>
    <w:p w14:paraId="605B8E26"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всех вариантах адресования должен быть обеспечен сбор:</w:t>
      </w:r>
    </w:p>
    <w:p w14:paraId="33693F3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автоматических подтверждений приема сигнала - на одну ступень в каждом направлении;</w:t>
      </w:r>
    </w:p>
    <w:p w14:paraId="67ABF58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ручных подтверждений:</w:t>
      </w:r>
    </w:p>
    <w:p w14:paraId="4AF72B3C"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одну ступень;</w:t>
      </w:r>
    </w:p>
    <w:p w14:paraId="07428BEB"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через одну ступень.</w:t>
      </w:r>
    </w:p>
    <w:p w14:paraId="1EFE782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Способы обмена информацией со взаимодействующими органами управления при оповещении должны быть организованы в автоматическом, автоматизированном и ручном режимах.</w:t>
      </w:r>
    </w:p>
    <w:p w14:paraId="235482C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Создание и совершенствование системы оповещения населения должны осуществлять:</w:t>
      </w:r>
    </w:p>
    <w:p w14:paraId="7C2ADE5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базе комплексов технических средств оповещения, разработанных под контролем федерального органа исполнительной власти, осуществляющего государственную политику в области гражданской обороны и уполномоченного на решение задач в области гражданской обороны, прошедших в установленном порядке приемочные испытания и принятых к серийному производству на территории Российской Федерации;</w:t>
      </w:r>
    </w:p>
    <w:p w14:paraId="13A1AB92"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 учетом развития сетей и систем связи, сетей теле- и радиовещания.</w:t>
      </w:r>
    </w:p>
    <w:p w14:paraId="3C3FB76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Все подсистемы систем оповещения населения должны сопрягаться на программно-аппаратном уровне.</w:t>
      </w:r>
    </w:p>
    <w:p w14:paraId="736C19E6"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Сопряжение систем оповещения населения вышестоящего уровня с системами оповещения населения нижестоящего уровня является обязательством вышестоящего постоянно действующего органа управления Единой государственной системы предупреждения и ликвидации чрезвычайных ситуаций, кроме систем оповещения объектового уровня. Техническое и программное сопряжение объектовых систем оповещения с </w:t>
      </w:r>
      <w:r w:rsidRPr="00E334E1">
        <w:rPr>
          <w:rFonts w:ascii="Times New Roman" w:eastAsia="Calibri" w:hAnsi="Times New Roman" w:cs="Times New Roman"/>
          <w:kern w:val="2"/>
          <w:sz w:val="28"/>
          <w:szCs w:val="28"/>
        </w:rPr>
        <w:lastRenderedPageBreak/>
        <w:t>региональной системой оповещения является обязательством собственника объекта.</w:t>
      </w:r>
    </w:p>
    <w:p w14:paraId="152A75D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 мирное время системы оповещения могут использоваться в целях реализации задач по защите населения и территорий от чрезвычайных ситуаций природного и техногенного характера.</w:t>
      </w:r>
    </w:p>
    <w:p w14:paraId="18F727C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Диагностирование состояния технических средств оповещения в системе должно обеспечиваться:</w:t>
      </w:r>
    </w:p>
    <w:p w14:paraId="5CBE988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автоматическим контролем состояния с использованием встроенных программно-технических средств – не реже одного раза в 30 мин;</w:t>
      </w:r>
    </w:p>
    <w:p w14:paraId="16EE173C"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передачей контрольных (тестовых) сообщений как </w:t>
      </w:r>
      <w:proofErr w:type="spellStart"/>
      <w:r w:rsidRPr="00E334E1">
        <w:rPr>
          <w:rFonts w:ascii="Times New Roman" w:eastAsia="Calibri" w:hAnsi="Times New Roman" w:cs="Times New Roman"/>
          <w:kern w:val="2"/>
          <w:sz w:val="28"/>
          <w:szCs w:val="28"/>
        </w:rPr>
        <w:t>циркулярно</w:t>
      </w:r>
      <w:proofErr w:type="spellEnd"/>
      <w:r w:rsidRPr="00E334E1">
        <w:rPr>
          <w:rFonts w:ascii="Times New Roman" w:eastAsia="Calibri" w:hAnsi="Times New Roman" w:cs="Times New Roman"/>
          <w:kern w:val="2"/>
          <w:sz w:val="28"/>
          <w:szCs w:val="28"/>
        </w:rPr>
        <w:t xml:space="preserve"> по всей сети, так и выборочно по установленному в ходе эксплуатации графику, но не реже одного раза в сутки.</w:t>
      </w:r>
    </w:p>
    <w:p w14:paraId="46FE285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федеральном и межрегиональных уровнях система оповещения должна обладать встроенными аппаратно-программными средствами </w:t>
      </w:r>
      <w:proofErr w:type="spellStart"/>
      <w:r w:rsidRPr="00E334E1">
        <w:rPr>
          <w:rFonts w:ascii="Times New Roman" w:eastAsia="Calibri" w:hAnsi="Times New Roman" w:cs="Times New Roman"/>
          <w:kern w:val="2"/>
          <w:sz w:val="28"/>
          <w:szCs w:val="28"/>
        </w:rPr>
        <w:t>имитозащиты</w:t>
      </w:r>
      <w:proofErr w:type="spellEnd"/>
      <w:r w:rsidRPr="00E334E1">
        <w:rPr>
          <w:rFonts w:ascii="Times New Roman" w:eastAsia="Calibri" w:hAnsi="Times New Roman" w:cs="Times New Roman"/>
          <w:kern w:val="2"/>
          <w:sz w:val="28"/>
          <w:szCs w:val="28"/>
        </w:rPr>
        <w:t xml:space="preserve"> передаваемых сигналов оповещения по классу стойкости не ниже 2.</w:t>
      </w:r>
    </w:p>
    <w:p w14:paraId="1F5F9A9B"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федеральном и межрегиональных уровнях информацию должны передавать по формату и порядку передаваемых сигналов и формализованных сообщений в соответствии с применяемым алгоритмом по защите информации.</w:t>
      </w:r>
    </w:p>
    <w:p w14:paraId="31BAFAD6"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E334E1">
        <w:rPr>
          <w:rFonts w:ascii="Times New Roman" w:eastAsia="Calibri" w:hAnsi="Times New Roman" w:cs="Times New Roman"/>
          <w:b/>
          <w:bCs/>
          <w:kern w:val="2"/>
          <w:sz w:val="28"/>
          <w:szCs w:val="28"/>
        </w:rPr>
        <w:t>Требования к информационному обеспечению</w:t>
      </w:r>
    </w:p>
    <w:p w14:paraId="6D35A50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Основой информационного обеспечения системы оповещения населения должны быть территориально-разнесенные базы данных и специальное программное обеспечение, включающие в себя информацию об элементах системы, порядке установления связи, оповещаемых абонентах, исполнительных устройствах своего и подчиненных уровней управления с использованием единых классификаторов объектов, свойств и признаков для описания всех информационных ресурсов.</w:t>
      </w:r>
    </w:p>
    <w:p w14:paraId="3E07F93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этом также должны выполнять следующие требования:</w:t>
      </w:r>
    </w:p>
    <w:p w14:paraId="52F0BBE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состав, структура и способы организации данных должны обеспечивать наличие всех необходимых учетных реквизитов объектов оповещения, разделение информации по категориям и независимость представления данных об объектах оповещения от других функциональных подсистем;</w:t>
      </w:r>
    </w:p>
    <w:p w14:paraId="786454B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информационный обмен между компонентами системы должен быть обеспечен средствами межведомственной сети связи и передачи данных с гарантированной доставкой команд управления и сообщений (информации) абоненту или центру (пункту) оповещения;</w:t>
      </w:r>
    </w:p>
    <w:p w14:paraId="3C13EB1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информационном взаимодействии со смежными системами должна быть обеспечена полная автономность программных и аппаратных средств системы оповещения, независимость подсистемы приема/отправки команд и информации оповещения от изменения категории информации, способов хранения и режима работы (автоматическом или ручном).</w:t>
      </w:r>
    </w:p>
    <w:p w14:paraId="632ECB1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Технические средства систем оповещения на объектах должны быть размещены в специально выделенном помещении (помещениях) с </w:t>
      </w:r>
      <w:r w:rsidRPr="00E334E1">
        <w:rPr>
          <w:rFonts w:ascii="Times New Roman" w:eastAsia="Calibri" w:hAnsi="Times New Roman" w:cs="Times New Roman"/>
          <w:kern w:val="2"/>
          <w:sz w:val="28"/>
          <w:szCs w:val="28"/>
        </w:rPr>
        <w:lastRenderedPageBreak/>
        <w:t>ограниченным доступом и оснащенных сигнализацией, выведенной на рабочее место дежурного персонала.</w:t>
      </w:r>
    </w:p>
    <w:p w14:paraId="1532F7B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E334E1">
        <w:rPr>
          <w:rFonts w:ascii="Times New Roman" w:eastAsia="Calibri" w:hAnsi="Times New Roman" w:cs="Times New Roman"/>
          <w:b/>
          <w:bCs/>
          <w:kern w:val="2"/>
          <w:sz w:val="28"/>
          <w:szCs w:val="28"/>
        </w:rPr>
        <w:t>Требования по сохранности информации при авариях</w:t>
      </w:r>
    </w:p>
    <w:p w14:paraId="5F57168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Сохранность информации в системах должна обеспечиваться при отключении электропитания, отказах отдельных элементов технических средств оповещения и авариях на сетях связи.</w:t>
      </w:r>
    </w:p>
    <w:p w14:paraId="2B0919F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Требования к стандартизации и унификации программных средств, применяемых в системах оповещения и информирования населения, должны быть обеспечены за счет применения унифицированных компонентов и средств из состава:</w:t>
      </w:r>
    </w:p>
    <w:p w14:paraId="173593B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общего и базового программного обеспечения;</w:t>
      </w:r>
    </w:p>
    <w:p w14:paraId="7D70806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систем управления базами данных;</w:t>
      </w:r>
    </w:p>
    <w:p w14:paraId="5FFC21E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сетевых операционных систем;</w:t>
      </w:r>
    </w:p>
    <w:p w14:paraId="66AE67D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стандартизованных для алфавитно-цифровых и графических интерфейсов.</w:t>
      </w:r>
    </w:p>
    <w:p w14:paraId="4BD1E49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Стандартизацию и унификацию технических средств оповещения должны обеспечивать посредством применения серийно выпускаемых средств вычислительной техники и коммуникационного оборудования повышенной надежности, используемого в </w:t>
      </w:r>
      <w:proofErr w:type="spellStart"/>
      <w:r w:rsidRPr="00E334E1">
        <w:rPr>
          <w:rFonts w:ascii="Times New Roman" w:eastAsia="Calibri" w:hAnsi="Times New Roman" w:cs="Times New Roman"/>
          <w:kern w:val="2"/>
          <w:sz w:val="28"/>
          <w:szCs w:val="28"/>
        </w:rPr>
        <w:t>мультисервисных</w:t>
      </w:r>
      <w:proofErr w:type="spellEnd"/>
      <w:r w:rsidRPr="00E334E1">
        <w:rPr>
          <w:rFonts w:ascii="Times New Roman" w:eastAsia="Calibri" w:hAnsi="Times New Roman" w:cs="Times New Roman"/>
          <w:kern w:val="2"/>
          <w:sz w:val="28"/>
          <w:szCs w:val="28"/>
        </w:rPr>
        <w:t xml:space="preserve"> сетях связи нового поколения. Должна быть предусмотрена унификация аппаратуры по комплектным изделиям и элементам их технического сопряжения.</w:t>
      </w:r>
    </w:p>
    <w:p w14:paraId="4E3C488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Системы оповещения должны удовлетворять следующим требованиям:</w:t>
      </w:r>
    </w:p>
    <w:p w14:paraId="79B6652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автоматическом способе передачи время прохождения сигналов на направлении оповещения не должно быть более:</w:t>
      </w:r>
    </w:p>
    <w:p w14:paraId="6553D01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80 сек. с вероятностью 0,95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системе;</w:t>
      </w:r>
    </w:p>
    <w:p w14:paraId="5B63592C"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30 сек. с вероятностью 0,95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федеральном звене;</w:t>
      </w:r>
    </w:p>
    <w:p w14:paraId="0D60E42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30 сек. с вероятностью 0,95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межрегиональном звене;</w:t>
      </w:r>
    </w:p>
    <w:p w14:paraId="591C4BC2"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12 сек. с вероятностью 0,95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региональном (территориальном) звене;</w:t>
      </w:r>
    </w:p>
    <w:p w14:paraId="2D932ACB"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8 сек. с вероятностью 0,95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местном звене.</w:t>
      </w:r>
    </w:p>
    <w:p w14:paraId="01DD7502"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автоматизированном способе передачи информации допустимое время на прием, обработку и передачу сигналов оповещения и управления не должно превышать 60 сек. с вероятностью 0,95 в каждом звене оповещения.</w:t>
      </w:r>
    </w:p>
    <w:p w14:paraId="27DE773D"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Вероятность ошибки при приеме сигналов на направлении оповещения не должна превышать:</w:t>
      </w:r>
    </w:p>
    <w:p w14:paraId="1C912AC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10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системе;</w:t>
      </w:r>
    </w:p>
    <w:p w14:paraId="0822764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10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федеральном звене;</w:t>
      </w:r>
    </w:p>
    <w:p w14:paraId="2D1F2EF2"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10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межрегиональном звене;</w:t>
      </w:r>
    </w:p>
    <w:p w14:paraId="2058CE8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10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региональном (территориальном) звене.</w:t>
      </w:r>
    </w:p>
    <w:p w14:paraId="09F72DD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Разборчивость слов при передаче информации должна быть не менее 93 % в каждом звене оповещения.</w:t>
      </w:r>
    </w:p>
    <w:p w14:paraId="6AA6580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Система оповещения должна обеспечивать передачу сообщений и сигналов в подчиненные органы управления и силы гражданской обороны при всех воздействующих факторах военного времени с вероятностью не ниже 0,95 для федерального и межрегионального звеньев управления, 0,9 - для </w:t>
      </w:r>
      <w:r w:rsidRPr="00E334E1">
        <w:rPr>
          <w:rFonts w:ascii="Times New Roman" w:eastAsia="Calibri" w:hAnsi="Times New Roman" w:cs="Times New Roman"/>
          <w:kern w:val="2"/>
          <w:sz w:val="28"/>
          <w:szCs w:val="28"/>
        </w:rPr>
        <w:lastRenderedPageBreak/>
        <w:t>регионального звена управления и 0,85 – для муниципального и объектового звеньев управления.</w:t>
      </w:r>
    </w:p>
    <w:p w14:paraId="0A8D382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Коэффициент готовности, характеризующий способность системы оповещения немедленно приступить к передаче сигналов и информации оповещения органам управления и силам гражданской обороны в любой обстановке, в целом должен быть не менее 0,994, в федеральном звене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0,99999; в межрегиональном звене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0,9999; в региональном (территориальном звене)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0,999; в местном звене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0,995. </w:t>
      </w:r>
    </w:p>
    <w:p w14:paraId="66B0F26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Достоверность приема речевой информации должна соответствовать второму классу качества:</w:t>
      </w:r>
    </w:p>
    <w:p w14:paraId="2D516F3B"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1) слоговая разборчивость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не хуже 75 %;</w:t>
      </w:r>
    </w:p>
    <w:p w14:paraId="2824FB4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2) словесная разборчивость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не хуже 97 %.</w:t>
      </w:r>
    </w:p>
    <w:p w14:paraId="2DC8D29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Надежность системы оповещения должна составлять не менее 12 лет непрерывной работы;</w:t>
      </w:r>
    </w:p>
    <w:p w14:paraId="0C44F2F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Управляемость системой оповещения должна обеспечивать изменение своего состояния в заданных пределах при воздействиях на нее органов управления связью и оповещения в соответствии с изменениями обстановки в условиях военного времени.</w:t>
      </w:r>
    </w:p>
    <w:p w14:paraId="4C2968A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Требования по надежности и ее составляющим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безотказности, долговечности, ремонтопригодности, сохраняемости:</w:t>
      </w:r>
    </w:p>
    <w:p w14:paraId="6BA0019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средняя наработка на отказ изделия должна составлять не менее 10000 ч;</w:t>
      </w:r>
    </w:p>
    <w:p w14:paraId="7468F50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среднее время восстановления работоспособного состояния средства связи и оповещения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не более 30 мин с учетом замены неисправного блока и без учета времени на доставку;</w:t>
      </w:r>
    </w:p>
    <w:p w14:paraId="798D40B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средний срок сохраняемости средств связи и оповещения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не менее 12 лет при хранении его в условиях отапливаемых и неотапливаемых хранилищ с температурой воздуха от минус 40 °С до плюс 40 °С и относительной влажностью воздуха – 80 %;</w:t>
      </w:r>
    </w:p>
    <w:p w14:paraId="3AF7D23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средний срок службы составных частей средств связи и оповещения до списания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не менее 12 лет;</w:t>
      </w:r>
    </w:p>
    <w:p w14:paraId="5047806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средний ресурс составных частей средства связи и оповещения до первого капитального ремонта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не менее 10000 ч.</w:t>
      </w:r>
    </w:p>
    <w:p w14:paraId="62170BF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Подвижные подсистемы системы оповещения населения следует размещать на транспортных средствах повышенной готовности и проходимости.</w:t>
      </w:r>
    </w:p>
    <w:p w14:paraId="29332DA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Электропитание технических средств оповещения следует осуществлять от сети гарантированного электропитания, в том числе от источников автономного питания.</w:t>
      </w:r>
    </w:p>
    <w:p w14:paraId="2B6AD2C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Сети вещания операторов связи должны обеспечивать централизованную передачу населению сигналов оповещения и информации, формируемых комплексами технических средств оповещения.</w:t>
      </w:r>
    </w:p>
    <w:p w14:paraId="3C251334"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Проектирование локальных систем оповещения, объектовых систем оповещения, а также систем оповещения городских и сельских поселений и их техническое сопряжение с региональной автоматизированной системой </w:t>
      </w:r>
      <w:r w:rsidRPr="00E334E1">
        <w:rPr>
          <w:rFonts w:ascii="Times New Roman" w:eastAsia="Calibri" w:hAnsi="Times New Roman" w:cs="Times New Roman"/>
          <w:kern w:val="2"/>
          <w:sz w:val="28"/>
          <w:szCs w:val="28"/>
        </w:rPr>
        <w:lastRenderedPageBreak/>
        <w:t>централизованного оповещения на основе сети проводного радиовещания следует осуществлять в соответствии с СП 133.13330.2012 «Сети проводного радиовещания и оповещения в зданиях и сооружениях. Нормы проектирования».</w:t>
      </w:r>
    </w:p>
    <w:p w14:paraId="755E95D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осуществления приема, обработки и передачи аудио- и (или) аудиовизуальных, а также иных сообщений об угрозе возникновения, о возникновении чрезвычайных ситуаций и правилах поведения населения создают специализированные технические средства оповещения и информирования населения в местах массового пребывания людей (далее - специализированные технические средства).</w:t>
      </w:r>
    </w:p>
    <w:p w14:paraId="48A7652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Специализированные технические средства должны удовлетворять следующим требованиям.</w:t>
      </w:r>
    </w:p>
    <w:p w14:paraId="58E0290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Специализированные технические средства не должны:</w:t>
      </w:r>
    </w:p>
    <w:p w14:paraId="2A92398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влиять на безопасность дорожного движения;</w:t>
      </w:r>
    </w:p>
    <w:p w14:paraId="46B49C12"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ограничивать видимость как в направлении движения, так и боковую (в том числе ограничивать видимость технических средств организации дорожного движения или мешать их восприятию участниками дорожного движения);</w:t>
      </w:r>
    </w:p>
    <w:p w14:paraId="19D43DB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снижать прочность, устойчивость и надежность конструкций, зданий и сооружений, на которых они размещены;</w:t>
      </w:r>
    </w:p>
    <w:p w14:paraId="7E4FC9B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создавать помехи для прохода пешеходов и механизированной уборки дорог;</w:t>
      </w:r>
    </w:p>
    <w:p w14:paraId="55FACC4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быть установлены в местах, где их размещение и эксплуатация может наносить ущерб природному комплексу, иметь сходство по внешнему виду, изображению, звуковому эффекту с техническими средствами организации дорожного движения и специальными сигналами, создавать впечатление нахождения на дороге пешеходов, транспортных средств, животных, других предметов.</w:t>
      </w:r>
    </w:p>
    <w:p w14:paraId="117B5BE5"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Специализированные технические средства, располагаемые внутри помещений, следует устанавливать в местах наибольшего пребывания людей (залы ожидания, вестибюли, основные входы и выходы из помещений и т.п.) в соответствии с СП 133.13330.2012 «Сети проводного радиовещания и оповещения в зданиях и сооружениях. Нормы проектирования» и СП 134.13330.2012 «Системы электросвязи зданий и сооружений. Основные положения проектирования».</w:t>
      </w:r>
    </w:p>
    <w:p w14:paraId="4481181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Специализированные технические средства, располагаемые вне помещений, не должны размещаться:</w:t>
      </w:r>
    </w:p>
    <w:p w14:paraId="2785F12A"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одной опоре с дорожными знаками, светофорами, в створе и в одном сечении с ними;</w:t>
      </w:r>
    </w:p>
    <w:p w14:paraId="5881A4A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аварийно-опасных участках дорог, железнодорожных переездах, мостовых сооружениях, в туннелях и под путепроводами, а также на расстоянии менее 350 м от них вне населенных пунктов и менее 50 м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населенных пунктах;</w:t>
      </w:r>
    </w:p>
    <w:p w14:paraId="0097B1E8"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участках дорог с высотой насыпи земляного полотна более 2 м;</w:t>
      </w:r>
    </w:p>
    <w:p w14:paraId="5690CD13"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lastRenderedPageBreak/>
        <w:t>над проезжей частью;</w:t>
      </w:r>
    </w:p>
    <w:p w14:paraId="0C1829CC"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дорожных ограждениях;</w:t>
      </w:r>
    </w:p>
    <w:p w14:paraId="16083886"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деревьях, скалах и других природных объектах;</w:t>
      </w:r>
    </w:p>
    <w:p w14:paraId="546D361C"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участках дорог с расстоянием видимости менее 350 м вне населенных пунктов и менее 150 м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населенных пунктах;</w:t>
      </w:r>
    </w:p>
    <w:p w14:paraId="7CC1AA4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ближе 25 м от остановок маршрутных транспортных средств;</w:t>
      </w:r>
    </w:p>
    <w:p w14:paraId="2CAF863F"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пешеходных переходах и пересечениях автомобильных дорог на одном уровне, а также на расстоянии менее 150 м от них вне населенных пунктов и менее 50 м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населенных пунктах.</w:t>
      </w:r>
    </w:p>
    <w:p w14:paraId="64BDE7F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сбоку от дороги на расстоянии менее 10 м от бровки земляного полотна дороги (бордюрного камня) вне населенных пунктов и менее 5 м </w:t>
      </w:r>
      <w:r w:rsidRPr="00E334E1">
        <w:rPr>
          <w:rFonts w:ascii="Times New Roman" w:eastAsia="Calibri" w:hAnsi="Times New Roman" w:cs="Times New Roman"/>
          <w:sz w:val="28"/>
          <w:szCs w:val="28"/>
        </w:rPr>
        <w:t>–</w:t>
      </w:r>
      <w:r w:rsidRPr="00E334E1">
        <w:rPr>
          <w:rFonts w:ascii="Times New Roman" w:eastAsia="Calibri" w:hAnsi="Times New Roman" w:cs="Times New Roman"/>
          <w:kern w:val="2"/>
          <w:sz w:val="28"/>
          <w:szCs w:val="28"/>
        </w:rPr>
        <w:t xml:space="preserve"> в населенных пунктах.</w:t>
      </w:r>
    </w:p>
    <w:p w14:paraId="6477E636"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При размещении специализированных технических средств на разделительной полосе расстояние от края конструкции или опоры до края проезжей части должно составлять не менее 2,5 м.</w:t>
      </w:r>
    </w:p>
    <w:p w14:paraId="66C78167"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Специализированные технические средства должны оснащать:</w:t>
      </w:r>
    </w:p>
    <w:p w14:paraId="0EBC39D1"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системой пожаротушения и системой аварийного отключения от электропитания;</w:t>
      </w:r>
    </w:p>
    <w:p w14:paraId="6602C1E4"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табло с указанием (идентификацией) эксплуатирующей организации.</w:t>
      </w:r>
    </w:p>
    <w:p w14:paraId="12D54629"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Опоры отдельно стоящих специализированных технических средств должны быть изготовлены из материалов, обеспечивающих достаточную устойчивость при ветровой нагрузке и эксплуатации.</w:t>
      </w:r>
    </w:p>
    <w:p w14:paraId="1AF14FD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Фундаменты отдельно стоящих специализированных технических средств не должны выступать над уровнем земли или тротуара. В исключительных случаях, когда заглубление фундамента невозможно, допускается размещение фундаментов без заглубления при наличии бортового камня или дорожных ограждений.</w:t>
      </w:r>
    </w:p>
    <w:p w14:paraId="368FABE4"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E334E1">
        <w:rPr>
          <w:rFonts w:ascii="Times New Roman" w:eastAsia="Calibri" w:hAnsi="Times New Roman" w:cs="Times New Roman"/>
          <w:b/>
          <w:bCs/>
          <w:kern w:val="2"/>
          <w:sz w:val="28"/>
          <w:szCs w:val="28"/>
        </w:rPr>
        <w:t>Объекты электросвязи и радиовещания (радиотрансляционные сети)</w:t>
      </w:r>
    </w:p>
    <w:p w14:paraId="40C20EB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Магистральные кабельные линии связи и магистральные радиорелейные линии связи следует прокладывать вне зон возможных разрушений.</w:t>
      </w:r>
    </w:p>
    <w:p w14:paraId="6FBA4D0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Трассы магистральных кабельных линий связи следует проводить также вне зон вероятного катастрофического затопления.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 избегая устройства в этой зоне усилительных (регенерационных) пунктов.</w:t>
      </w:r>
    </w:p>
    <w:p w14:paraId="5928FBC0"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оперативно-технического управления сети общего пользования единой системы электросвязи.</w:t>
      </w:r>
    </w:p>
    <w:p w14:paraId="144ECD3E" w14:textId="77777777" w:rsidR="00FA2526" w:rsidRPr="00E334E1" w:rsidRDefault="00FA2526" w:rsidP="00FA2526">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Радиотрансляционные сети городских округов и поселений должны иметь (по согласованию с территориальным органом федерального органа </w:t>
      </w:r>
      <w:r w:rsidRPr="00E334E1">
        <w:rPr>
          <w:rFonts w:ascii="Times New Roman" w:eastAsia="Calibri" w:hAnsi="Times New Roman" w:cs="Times New Roman"/>
          <w:kern w:val="2"/>
          <w:sz w:val="28"/>
          <w:szCs w:val="28"/>
        </w:rPr>
        <w:lastRenderedPageBreak/>
        <w:t>исполнительной власти, уполномоченного на решение задач в области гражданской обороны) требуемое по расчету число уличных громкоговорителей для внешнего оповещения населения.</w:t>
      </w:r>
    </w:p>
    <w:bookmarkEnd w:id="45"/>
    <w:bookmarkEnd w:id="46"/>
    <w:p w14:paraId="2E248ADB" w14:textId="77777777" w:rsidR="00FA2526" w:rsidRPr="00E334E1" w:rsidRDefault="00FA2526" w:rsidP="00FA2526">
      <w:pPr>
        <w:widowControl w:val="0"/>
        <w:spacing w:after="0"/>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р) в подразделе 4.5 «Проведение эвакуационных мероприятий в чрезвычайных ситуаций и при проведении мероприятий ГО» абзацы второй и третий признать утратившими силу;</w:t>
      </w:r>
    </w:p>
    <w:p w14:paraId="4AEFCA66" w14:textId="77777777" w:rsidR="00FA2526" w:rsidRPr="00E334E1" w:rsidRDefault="00FA2526" w:rsidP="00FA2526">
      <w:pPr>
        <w:widowControl w:val="0"/>
        <w:spacing w:after="0"/>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с) абзац шестой подраздела 4.5 «Проведение эвакуационных мероприятий в чрезвычайных ситуаций и при проведении мероприятий ГО» изложить в следующей редакции:</w:t>
      </w:r>
    </w:p>
    <w:p w14:paraId="6C3498E6"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Calibri" w:hAnsi="Times New Roman" w:cs="Times New Roman"/>
          <w:sz w:val="28"/>
          <w:szCs w:val="28"/>
        </w:rPr>
        <w:t>«</w:t>
      </w:r>
      <w:r w:rsidRPr="00E334E1">
        <w:rPr>
          <w:rFonts w:ascii="Times New Roman" w:eastAsia="Times New Roman" w:hAnsi="Times New Roman" w:cs="Times New Roman"/>
          <w:kern w:val="2"/>
          <w:sz w:val="28"/>
          <w:szCs w:val="28"/>
          <w:lang w:eastAsia="ru-RU"/>
        </w:rPr>
        <w:t>Эвакуация населения поселка Золотухино в случае радиационной аварии на Курской АЭС не предусматривается.»;</w:t>
      </w:r>
    </w:p>
    <w:p w14:paraId="38DA9456" w14:textId="77777777" w:rsidR="00FA2526" w:rsidRPr="00E334E1" w:rsidRDefault="00FA2526" w:rsidP="00FA2526">
      <w:pPr>
        <w:widowControl w:val="0"/>
        <w:spacing w:after="0" w:line="240" w:lineRule="auto"/>
        <w:ind w:firstLine="720"/>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т) абзацы второй и третий подраздела 4.6 «Обеспечение защиты населения в защитных сооружениях (ЗС ГО)» изложить в следующей редакции:</w:t>
      </w:r>
    </w:p>
    <w:p w14:paraId="3479668F"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Calibri" w:hAnsi="Times New Roman" w:cs="Times New Roman"/>
          <w:sz w:val="28"/>
          <w:szCs w:val="28"/>
        </w:rPr>
        <w:t>«</w:t>
      </w:r>
      <w:r w:rsidRPr="00E334E1">
        <w:rPr>
          <w:rFonts w:ascii="Times New Roman" w:eastAsia="Times New Roman" w:hAnsi="Times New Roman" w:cs="Times New Roman"/>
          <w:kern w:val="2"/>
          <w:sz w:val="28"/>
          <w:szCs w:val="28"/>
          <w:lang w:eastAsia="ru-RU"/>
        </w:rPr>
        <w:t>На территории поселка Золотухино числится 3 ЗС ГО вместимостью от 100 до 200 чел. (ул. Куйбышева, 42; ул. Кирова, 81; ул. Кирова, 23), а также имеются заглубленные помещения и другие сооружения подземного пространства (подвалы, погреба) на объектах жилого фонда и социального назначения.</w:t>
      </w:r>
    </w:p>
    <w:p w14:paraId="30604215" w14:textId="77777777" w:rsidR="00FA2526" w:rsidRPr="00E334E1" w:rsidRDefault="00FA2526" w:rsidP="00FA2526">
      <w:pPr>
        <w:tabs>
          <w:tab w:val="left" w:pos="0"/>
        </w:tabs>
        <w:spacing w:after="0" w:line="240" w:lineRule="auto"/>
        <w:ind w:firstLine="709"/>
        <w:jc w:val="both"/>
        <w:rPr>
          <w:rFonts w:ascii="Times New Roman" w:eastAsia="Times New Roman" w:hAnsi="Times New Roman" w:cs="Times New Roman"/>
          <w:kern w:val="2"/>
          <w:sz w:val="28"/>
          <w:szCs w:val="28"/>
          <w:lang w:eastAsia="ru-RU"/>
        </w:rPr>
      </w:pPr>
      <w:r w:rsidRPr="00E334E1">
        <w:rPr>
          <w:rFonts w:ascii="Times New Roman" w:eastAsia="Times New Roman" w:hAnsi="Times New Roman" w:cs="Times New Roman"/>
          <w:kern w:val="2"/>
          <w:sz w:val="28"/>
          <w:szCs w:val="28"/>
          <w:lang w:eastAsia="ru-RU"/>
        </w:rPr>
        <w:t>По результатам инвентаризации защитных сооружений гражданской обороны, проведенной в 2018 году: 1 ЗС ГО признано не готовым к приему укрываемых, 2 ЗС ГО признаны ограничено готовыми к приему укрываемых.</w:t>
      </w:r>
      <w:r w:rsidRPr="00E334E1">
        <w:rPr>
          <w:rFonts w:ascii="Times New Roman" w:eastAsia="Calibri" w:hAnsi="Times New Roman" w:cs="Times New Roman"/>
          <w:sz w:val="28"/>
          <w:szCs w:val="28"/>
        </w:rPr>
        <w:t>»;</w:t>
      </w:r>
    </w:p>
    <w:p w14:paraId="77D3FA10" w14:textId="77777777" w:rsidR="00FA2526" w:rsidRPr="00E334E1" w:rsidRDefault="00FA2526" w:rsidP="00FA2526">
      <w:pPr>
        <w:widowControl w:val="0"/>
        <w:spacing w:after="0" w:line="240" w:lineRule="auto"/>
        <w:ind w:firstLine="720"/>
        <w:jc w:val="both"/>
        <w:rPr>
          <w:rFonts w:ascii="Times New Roman" w:eastAsia="Calibri" w:hAnsi="Times New Roman" w:cs="Times New Roman"/>
          <w:sz w:val="28"/>
          <w:szCs w:val="28"/>
        </w:rPr>
      </w:pPr>
      <w:r w:rsidRPr="00E334E1">
        <w:rPr>
          <w:rFonts w:ascii="Times New Roman" w:eastAsia="Times New Roman" w:hAnsi="Times New Roman" w:cs="Times New Roman"/>
          <w:sz w:val="28"/>
          <w:szCs w:val="28"/>
          <w:lang w:eastAsia="ru-RU"/>
        </w:rPr>
        <w:t>у) </w:t>
      </w:r>
      <w:r w:rsidRPr="00E334E1">
        <w:rPr>
          <w:rFonts w:ascii="Times New Roman" w:eastAsia="Calibri" w:hAnsi="Times New Roman" w:cs="Times New Roman"/>
          <w:sz w:val="28"/>
          <w:szCs w:val="28"/>
        </w:rPr>
        <w:t>подраздел «Градостроительные (проектные) ограничения (предложения)» подраздела 4.6 «Обеспечение защиты населения в защитных сооружениях (ЗС ГО)» изложить в следующей редакции:</w:t>
      </w:r>
    </w:p>
    <w:p w14:paraId="1A2D413C"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w:t>
      </w:r>
      <w:r w:rsidRPr="00E334E1">
        <w:rPr>
          <w:rFonts w:ascii="Times New Roman" w:eastAsia="Calibri" w:hAnsi="Times New Roman" w:cs="Times New Roman"/>
          <w:b/>
          <w:bCs/>
          <w:sz w:val="28"/>
          <w:szCs w:val="28"/>
        </w:rPr>
        <w:t>Градостроительные (проектные) ограничения (предложения)</w:t>
      </w:r>
    </w:p>
    <w:p w14:paraId="552C535E"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Необходимо накопление необходимого фонда защитных сооружений на территории района в соответствии с нормами СП 88.13330.2014 «СНиП II.11-77* Защитные сооружения гражданской обороны», СП 165.1325800.2014 «СНиП 2.01.51-90 Инженерно-технические мероприятия по гражданской обороне».</w:t>
      </w:r>
    </w:p>
    <w:p w14:paraId="20871C4F"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в течение до двух суток.</w:t>
      </w:r>
    </w:p>
    <w:p w14:paraId="7A55D066"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ЗС следует размещать в пределах радиуса сбора укрываемых, согласно схемам размещения ЗС ГО.</w:t>
      </w:r>
    </w:p>
    <w:p w14:paraId="4928C0C1"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
          <w:sz w:val="28"/>
          <w:szCs w:val="28"/>
          <w:lang w:eastAsia="ru-RU"/>
        </w:rPr>
      </w:pPr>
      <w:r w:rsidRPr="00E334E1">
        <w:rPr>
          <w:rFonts w:ascii="Times New Roman" w:eastAsia="Times New Roman" w:hAnsi="Times New Roman" w:cs="Times New Roman"/>
          <w:bCs/>
          <w:sz w:val="28"/>
          <w:szCs w:val="28"/>
          <w:lang w:eastAsia="ru-RU"/>
        </w:rPr>
        <w:t>Имеющиеся и предлагаемые к размещению объекты (ЗС ГО) отражены на</w:t>
      </w:r>
      <w:r w:rsidRPr="00E334E1">
        <w:rPr>
          <w:rFonts w:ascii="Times New Roman" w:eastAsia="Times New Roman" w:hAnsi="Times New Roman" w:cs="Times New Roman"/>
          <w:b/>
          <w:sz w:val="28"/>
          <w:szCs w:val="28"/>
          <w:lang w:eastAsia="ru-RU"/>
        </w:rPr>
        <w:t xml:space="preserve"> «</w:t>
      </w:r>
      <w:r w:rsidRPr="00E334E1">
        <w:rPr>
          <w:rFonts w:ascii="Times New Roman" w:eastAsia="Times New Roman" w:hAnsi="Times New Roman" w:cs="Times New Roman"/>
          <w:sz w:val="28"/>
          <w:szCs w:val="28"/>
          <w:lang w:eastAsia="ru-RU"/>
        </w:rPr>
        <w:t>Карте анализа комплексного развития территории и размещения объектов местного значения», «Карте территорий, подверженных риску возникновения ЧС природного и техногенного характера».»;</w:t>
      </w:r>
    </w:p>
    <w:p w14:paraId="3B7794F0" w14:textId="77777777" w:rsidR="00FA2526" w:rsidRPr="00E334E1" w:rsidRDefault="00FA2526" w:rsidP="00FA2526">
      <w:pPr>
        <w:widowControl w:val="0"/>
        <w:spacing w:after="0" w:line="240" w:lineRule="auto"/>
        <w:ind w:firstLine="720"/>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 xml:space="preserve">ф) подраздел 4.7 «Световая маркировка» </w:t>
      </w:r>
      <w:r w:rsidRPr="00E334E1">
        <w:rPr>
          <w:rFonts w:ascii="Times New Roman" w:eastAsia="Times New Roman" w:hAnsi="Times New Roman" w:cs="Times New Roman"/>
          <w:sz w:val="28"/>
          <w:szCs w:val="28"/>
          <w:lang w:eastAsia="ru-RU"/>
        </w:rPr>
        <w:t>изложить в следующей редакции:</w:t>
      </w:r>
    </w:p>
    <w:p w14:paraId="75999972"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«К объектам и территориям могут быть применены следующие виды </w:t>
      </w:r>
      <w:r w:rsidRPr="00E334E1">
        <w:rPr>
          <w:rFonts w:ascii="Times New Roman" w:eastAsia="Calibri" w:hAnsi="Times New Roman" w:cs="Times New Roman"/>
          <w:kern w:val="2"/>
          <w:sz w:val="28"/>
          <w:szCs w:val="28"/>
        </w:rPr>
        <w:lastRenderedPageBreak/>
        <w:t>маскировочных мероприятий:</w:t>
      </w:r>
    </w:p>
    <w:p w14:paraId="20A09796"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световая маскировка – осуществляют в населенных пунктах, расположенных на приграничной территории, и на отдельно расположенных объектах капитального строительства, указанных в пункте 1.1 СП 165.1325800.2014 «СНиП 2.01.51-90 Инженерно-технические мероприятия по гражданской обороне», если эти населенные пункты и объекты рассматриваются органами военного управления как вероятные цели поражения на территории Российской Федерации;</w:t>
      </w:r>
    </w:p>
    <w:p w14:paraId="4BE421FE"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световая маскировка, скрытие, имитация, а также демонстративные действия – проводят на территориях, отнесенных к группам по гражданской обороне и в населенных пунктах с расположенными на их территориях организациями, отнесенными к категориям по гражданской обороне, предусматривают маскировку объектов организаций и инфраструктуры населенных пунктов при проведении как определенных мероприятий по гражданской обороне, так и с целью обеспечения защиты объектов, продолжающих работу (функционирование) в военное время, если они являются вероятными целями поражения в военное время. Основное предназначение – противодействие их обнаружению, ведению целеуказания и выводу их из строя, а также недопущение срыва сроков выполнения мероприятий по гражданской обороне;</w:t>
      </w:r>
    </w:p>
    <w:p w14:paraId="09F8F893"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комплексная маскировка территорий – проводят в зонах вероятного пролета средств доставки и средств поражения к целям (объектам вероятного поражения), основное предназначение – изменение (скрытие и создание ложных) ориентирных указателей территорий, осуществляют в целях снижения точности наведения средств доставки и поражения на цели;</w:t>
      </w:r>
    </w:p>
    <w:p w14:paraId="2F64D713"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комплексная маскировка организаций – проводят на территориях организаций, продолжающих свою деятельность в период мобилизации и военное время, прилегающих к ним территориях, а также на территориях организаций, обеспечивающих жизнедеятельность территорий, отнесенных к группам по гражданской обороне, и предусматривает весь комплекс маскировочных мероприятий, обеспечивающих снижение демаскирующих параметров объектов и прилегающих ориентирных указателей территорий (в оптическом, радиолокационном, тепловом (инфракрасном) спектрах, снижение параметров упругих колебаний и гравитации объектов, а также мероприятий по ввозу или вывозу людей, оборудования и материалов).</w:t>
      </w:r>
    </w:p>
    <w:p w14:paraId="4A9BCC2B"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На территориях, не входящих в зону маскировки объектов и территорий, и в организациях, прекращающих свою деятельность в военное время, заблаговременно осуществляются только организационные мероприятия по обеспечению отключения наружного освещения населенных пунктов и организаций, внутреннего освещения жилых, общественных, производственных и вспомогательных зданий, а также организационные мероприятия по подготовке и обеспечению световой маскировки производственных огней при подаче сигнала «Воздушная тревога».</w:t>
      </w:r>
    </w:p>
    <w:p w14:paraId="55F46669"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На основании положений СП 165.1325800.2014 «СНиП 2.01.51-90 </w:t>
      </w:r>
      <w:r w:rsidRPr="00E334E1">
        <w:rPr>
          <w:rFonts w:ascii="Times New Roman" w:eastAsia="Calibri" w:hAnsi="Times New Roman" w:cs="Times New Roman"/>
          <w:kern w:val="2"/>
          <w:sz w:val="28"/>
          <w:szCs w:val="28"/>
        </w:rPr>
        <w:lastRenderedPageBreak/>
        <w:t xml:space="preserve">Инженерно-технические мероприятия по гражданской обороне» территория поселка Золотухино попадает в зону световой маскировки для минимизации последствий воздействия источников ЧС военного характера. </w:t>
      </w:r>
    </w:p>
    <w:p w14:paraId="1C09AD5A"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Обеспечение светомаскировки объекта в соответствии с требованиями СП 264.1325800.2016 «СНиП 2.01.53-84 Световая маскировка населенных пунктов и объектов народного хозяйства» решается централизованно, путем отключения питающих линий электрических осветительных сетей района при введении режимов светомаскировки (частичного и полного затемнения).</w:t>
      </w:r>
    </w:p>
    <w:p w14:paraId="3A4C1C0E"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Технические решения по световой маскировке должны быть приняты в соответствии с требованиями СП 264.1325800.2016 «СНиП 2.01.53-84 Световая маскировка населенных пунктов и объектов народного хозяйства», СП 165.1325800.2014 «СНиП 2.01.51-90 Инженерно-технические мероприятия по гражданской обороне» и ПУЭ, утвержденными Минэнерго Российской Федерации.</w:t>
      </w:r>
    </w:p>
    <w:p w14:paraId="14DD0E12"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Режим частичного затемнения вводится уполномоченными органами исполнительной власти Российской Федерации на весь угрожаемый период и отменяется при миновании угрозы нападения противника. Режим частичного затемнения после его введения действует постоянно, кроме времени действия режима полного затемнения.</w:t>
      </w:r>
    </w:p>
    <w:p w14:paraId="7F7178DD"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В режиме частичного затемнения осуществляется сокращение наружного освещения на 50 %. </w:t>
      </w:r>
    </w:p>
    <w:p w14:paraId="3F36BC8F"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 xml:space="preserve">Транспорт, а также средства регулирования его движения, </w:t>
      </w:r>
      <w:proofErr w:type="spellStart"/>
      <w:r w:rsidRPr="00E334E1">
        <w:rPr>
          <w:rFonts w:ascii="Times New Roman" w:eastAsia="Calibri" w:hAnsi="Times New Roman" w:cs="Times New Roman"/>
          <w:kern w:val="2"/>
          <w:sz w:val="28"/>
          <w:szCs w:val="28"/>
        </w:rPr>
        <w:t>светоограждение</w:t>
      </w:r>
      <w:proofErr w:type="spellEnd"/>
      <w:r w:rsidRPr="00E334E1">
        <w:rPr>
          <w:rFonts w:ascii="Times New Roman" w:eastAsia="Calibri" w:hAnsi="Times New Roman" w:cs="Times New Roman"/>
          <w:kern w:val="2"/>
          <w:sz w:val="28"/>
          <w:szCs w:val="28"/>
        </w:rPr>
        <w:t xml:space="preserve"> аэронавигационных препятствий в режиме частичного затемнения светомаскировке не подлежат.</w:t>
      </w:r>
    </w:p>
    <w:p w14:paraId="31EC809C" w14:textId="77777777" w:rsidR="00FA2526" w:rsidRPr="00E334E1" w:rsidRDefault="00FA2526" w:rsidP="00FA2526">
      <w:pPr>
        <w:widowControl w:val="0"/>
        <w:spacing w:after="0" w:line="240" w:lineRule="auto"/>
        <w:ind w:firstLine="709"/>
        <w:jc w:val="both"/>
        <w:rPr>
          <w:rFonts w:ascii="Times New Roman" w:eastAsia="Calibri" w:hAnsi="Times New Roman" w:cs="Times New Roman"/>
          <w:kern w:val="2"/>
          <w:sz w:val="28"/>
          <w:szCs w:val="28"/>
        </w:rPr>
      </w:pPr>
      <w:r w:rsidRPr="00E334E1">
        <w:rPr>
          <w:rFonts w:ascii="Times New Roman" w:eastAsia="Calibri" w:hAnsi="Times New Roman" w:cs="Times New Roman"/>
          <w:kern w:val="2"/>
          <w:sz w:val="28"/>
          <w:szCs w:val="28"/>
        </w:rPr>
        <w:t>Режим полного затемнения вводится по сигналу «Воздушная тревога» и отменяется с объявлением сигнала «Отбой воздушной тревоги». Переход с режима частичного затемнения на режим полного затемнения должен осуществляться не более чем за 3 мин.»;</w:t>
      </w:r>
    </w:p>
    <w:p w14:paraId="590E9F29" w14:textId="77777777" w:rsidR="00FA2526" w:rsidRPr="00E334E1" w:rsidRDefault="00FA2526" w:rsidP="00FA2526">
      <w:pPr>
        <w:widowControl w:val="0"/>
        <w:spacing w:after="0" w:line="240" w:lineRule="auto"/>
        <w:ind w:firstLine="709"/>
        <w:jc w:val="both"/>
        <w:rPr>
          <w:rFonts w:ascii="Times New Roman" w:eastAsia="Times New Roman" w:hAnsi="Times New Roman" w:cs="Times New Roman"/>
          <w:bCs/>
          <w:sz w:val="28"/>
          <w:szCs w:val="28"/>
          <w:lang w:eastAsia="ru-RU"/>
        </w:rPr>
      </w:pPr>
      <w:r w:rsidRPr="00E334E1">
        <w:rPr>
          <w:rFonts w:ascii="Times New Roman" w:eastAsia="Times New Roman" w:hAnsi="Times New Roman" w:cs="Times New Roman"/>
          <w:bCs/>
          <w:sz w:val="28"/>
          <w:szCs w:val="28"/>
          <w:lang w:eastAsia="ru-RU"/>
        </w:rPr>
        <w:t>5) раздел 5 «Перечень мероприятий по обеспечению пожарной безопасности»:</w:t>
      </w:r>
    </w:p>
    <w:p w14:paraId="20FCD478" w14:textId="77777777" w:rsidR="00FA2526" w:rsidRPr="00E334E1" w:rsidRDefault="00FA2526" w:rsidP="00FA2526">
      <w:pPr>
        <w:widowControl w:val="0"/>
        <w:spacing w:after="0"/>
        <w:ind w:firstLine="709"/>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а) подраздел «Противопожарное водоснабжение» подраздела 5.1 «Характеристика выполнения требований по обеспечению пожарной безопасности» </w:t>
      </w:r>
      <w:r w:rsidRPr="00E334E1">
        <w:rPr>
          <w:rFonts w:ascii="Times New Roman" w:eastAsia="Times New Roman" w:hAnsi="Times New Roman" w:cs="Times New Roman"/>
          <w:sz w:val="28"/>
          <w:szCs w:val="28"/>
          <w:lang w:eastAsia="ru-RU"/>
        </w:rPr>
        <w:t>дополнить абзацем вторым следующего содержания</w:t>
      </w:r>
      <w:r w:rsidRPr="00E334E1">
        <w:rPr>
          <w:rFonts w:ascii="Times New Roman" w:eastAsia="Calibri" w:hAnsi="Times New Roman" w:cs="Times New Roman"/>
          <w:sz w:val="28"/>
          <w:szCs w:val="28"/>
        </w:rPr>
        <w:t>:</w:t>
      </w:r>
    </w:p>
    <w:p w14:paraId="1E6FBAA4"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«Источниками наружного и внутреннего пожарного водоснабжения на территории поселка Золотухино служат: 7 пожарных гидрантов, 7 водоемов и 18 водонапорных башен.»;</w:t>
      </w:r>
    </w:p>
    <w:p w14:paraId="3F57DE26" w14:textId="77777777" w:rsidR="00FA2526" w:rsidRPr="00E334E1" w:rsidRDefault="00FA2526" w:rsidP="00FA2526">
      <w:pPr>
        <w:spacing w:line="240" w:lineRule="auto"/>
        <w:ind w:firstLine="720"/>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б) подраздел «Размещение подразделений пожарной охраны» подраздела 5.1 «Характеристика выполнения требований по обеспечению пожарной безопасности» изложить в следующей редакции:</w:t>
      </w:r>
    </w:p>
    <w:p w14:paraId="28F236F7" w14:textId="77777777" w:rsidR="00FA2526" w:rsidRPr="00E334E1" w:rsidRDefault="00FA2526" w:rsidP="00FA2526">
      <w:pPr>
        <w:tabs>
          <w:tab w:val="left" w:pos="0"/>
        </w:tabs>
        <w:spacing w:line="240" w:lineRule="auto"/>
        <w:ind w:firstLine="709"/>
        <w:rPr>
          <w:rFonts w:ascii="Times New Roman" w:eastAsia="Times New Roman" w:hAnsi="Times New Roman" w:cs="Times New Roman"/>
          <w:b/>
          <w:kern w:val="2"/>
          <w:sz w:val="28"/>
          <w:szCs w:val="28"/>
          <w:lang w:eastAsia="ru-RU"/>
        </w:rPr>
      </w:pPr>
      <w:r w:rsidRPr="00E334E1">
        <w:rPr>
          <w:rFonts w:ascii="Times New Roman" w:eastAsia="Calibri" w:hAnsi="Times New Roman" w:cs="Times New Roman"/>
          <w:sz w:val="28"/>
          <w:szCs w:val="28"/>
        </w:rPr>
        <w:t>«</w:t>
      </w:r>
      <w:r w:rsidRPr="00E334E1">
        <w:rPr>
          <w:rFonts w:ascii="Times New Roman" w:eastAsia="Times New Roman" w:hAnsi="Times New Roman" w:cs="Times New Roman"/>
          <w:b/>
          <w:kern w:val="2"/>
          <w:sz w:val="28"/>
          <w:szCs w:val="28"/>
          <w:lang w:eastAsia="ru-RU"/>
        </w:rPr>
        <w:t>Размещение подразделений пожарной охраны</w:t>
      </w:r>
    </w:p>
    <w:p w14:paraId="6F336F6E"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Для тушения пожаров на территории поселка Золотухино Золотухинского района привлекаются следующие подразделения: </w:t>
      </w:r>
    </w:p>
    <w:p w14:paraId="2346B6AA"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27 пожарная часть Золотухинского района ОКУ «ППС Курской области», расположенная по адресу: п. Золотухино, ул. Железнодорожная 82;</w:t>
      </w:r>
    </w:p>
    <w:p w14:paraId="6ADA5A38"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lastRenderedPageBreak/>
        <w:t>отдельный пост пожарной охраны м. Свобода 27 пожарной части Золотухинского района ОКУ «ППС Курской области», расположенный по адресу: Золотухинский район, м. Свобода, ул. Электрическая 1;</w:t>
      </w:r>
    </w:p>
    <w:p w14:paraId="55C3F49A"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5 пожарно-спасательная часть пожарно-спасательного отряда федеральной противопожарной службы Государственной противопожарной служба Главного управления МЧС России по Курской области (далее – ПСЧ ПСО ФПС ГПС ГУ МЧС России по Курской области), расположенная по адресу: г. Курск, ул. 2-я Рабочая 18б;</w:t>
      </w:r>
    </w:p>
    <w:p w14:paraId="598BA544"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2 ПСЧ ПСО ФПС ГПС ГУ МЧС России по Курской области, расположенная по адресу: г. Курск, ул. Радищева 79;</w:t>
      </w:r>
    </w:p>
    <w:p w14:paraId="5D4FFC11"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4 ПСЧ ПСО ФПС ГПС ГУ МЧС России по Курской области, расположенная по адресу: г. Курск, ул. Можаевская 9;</w:t>
      </w:r>
    </w:p>
    <w:p w14:paraId="6085F443"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ОКУ «АСС Курской области», расположенное по адресу: г. Курск, ул. 50 лет Октября 177;</w:t>
      </w:r>
    </w:p>
    <w:p w14:paraId="0DF89140"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1 специализированная пожарно-спасательная часть по тушению крупных пожаров ПСО ФПС ГПС ГУ МЧС России по Курской области, расположенная по адресу: г. Курск, ул. 50 лет Октября 116б.»;</w:t>
      </w:r>
    </w:p>
    <w:p w14:paraId="13E8EEBD" w14:textId="77777777" w:rsidR="00FA2526" w:rsidRPr="00E334E1" w:rsidRDefault="00FA2526" w:rsidP="00FA2526">
      <w:pPr>
        <w:widowControl w:val="0"/>
        <w:spacing w:after="0" w:line="240" w:lineRule="auto"/>
        <w:ind w:firstLine="696"/>
        <w:contextualSpacing/>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 xml:space="preserve">в) абзац первый подраздела «Противопожарное водоснабжение» подраздела </w:t>
      </w:r>
      <w:r w:rsidRPr="00E334E1">
        <w:rPr>
          <w:rFonts w:ascii="Times New Roman" w:eastAsia="Calibri" w:hAnsi="Times New Roman" w:cs="Times New Roman"/>
          <w:snapToGrid w:val="0"/>
          <w:sz w:val="28"/>
          <w:szCs w:val="28"/>
        </w:rPr>
        <w:t>5.2 «</w:t>
      </w:r>
      <w:r w:rsidRPr="00E334E1">
        <w:rPr>
          <w:rFonts w:ascii="Times New Roman" w:eastAsia="Calibri" w:hAnsi="Times New Roman" w:cs="Times New Roman"/>
          <w:sz w:val="28"/>
          <w:szCs w:val="28"/>
        </w:rPr>
        <w:t>Проектные предложения (требования) и градостроительные решения» изложить в следующей редакции:</w:t>
      </w:r>
    </w:p>
    <w:p w14:paraId="6A1B7BC2" w14:textId="77777777" w:rsidR="00FA2526" w:rsidRPr="00E334E1" w:rsidRDefault="00FA2526" w:rsidP="00FA2526">
      <w:pPr>
        <w:widowControl w:val="0"/>
        <w:autoSpaceDE w:val="0"/>
        <w:autoSpaceDN w:val="0"/>
        <w:adjustRightInd w:val="0"/>
        <w:spacing w:after="0" w:line="240" w:lineRule="auto"/>
        <w:ind w:firstLine="700"/>
        <w:jc w:val="both"/>
        <w:rPr>
          <w:rFonts w:ascii="Times New Roman" w:eastAsia="Calibri" w:hAnsi="Times New Roman" w:cs="Times New Roman"/>
          <w:sz w:val="28"/>
          <w:szCs w:val="28"/>
          <w:lang w:eastAsia="ru-RU"/>
        </w:rPr>
      </w:pPr>
      <w:r w:rsidRPr="00E334E1">
        <w:rPr>
          <w:rFonts w:ascii="Times New Roman" w:eastAsia="Calibri" w:hAnsi="Times New Roman" w:cs="Times New Roman"/>
          <w:sz w:val="28"/>
          <w:szCs w:val="28"/>
          <w:lang w:eastAsia="ru-RU"/>
        </w:rPr>
        <w:t>«Требуется: доведение до норм количества и расположения наружных источников водоснабжения на территории муниципального образования с учётом статьи 68 Федерального закона от 22 июля 2008 г. «123-ФЗ «Технический регламент о требованиях пожарной безопасности», а также раздела 5 СП 8.13130 «Системы противопожарной защиты. Наружное противопожарное водоснабжение. Требования пожарной безопасности»;</w:t>
      </w:r>
    </w:p>
    <w:p w14:paraId="3B67BD09" w14:textId="77777777" w:rsidR="00FA2526" w:rsidRPr="00E334E1" w:rsidRDefault="00FA2526" w:rsidP="00FA2526">
      <w:pPr>
        <w:spacing w:after="0" w:line="240" w:lineRule="auto"/>
        <w:ind w:firstLine="709"/>
        <w:jc w:val="both"/>
        <w:rPr>
          <w:rFonts w:ascii="Times New Roman" w:eastAsia="Calibri" w:hAnsi="Times New Roman" w:cs="Times New Roman"/>
          <w:sz w:val="28"/>
          <w:szCs w:val="28"/>
        </w:rPr>
      </w:pPr>
      <w:r w:rsidRPr="00E334E1">
        <w:rPr>
          <w:rFonts w:ascii="Times New Roman" w:eastAsia="Calibri" w:hAnsi="Times New Roman" w:cs="Times New Roman"/>
          <w:sz w:val="28"/>
          <w:szCs w:val="28"/>
          <w:lang w:eastAsia="ru-RU"/>
        </w:rPr>
        <w:t xml:space="preserve">д) абзац второй подраздела «Размещение подразделений пожарной охраны» </w:t>
      </w:r>
      <w:r w:rsidRPr="00E334E1">
        <w:rPr>
          <w:rFonts w:ascii="Times New Roman" w:eastAsia="Calibri" w:hAnsi="Times New Roman" w:cs="Times New Roman"/>
          <w:sz w:val="28"/>
          <w:szCs w:val="28"/>
        </w:rPr>
        <w:t xml:space="preserve">подраздела </w:t>
      </w:r>
      <w:r w:rsidRPr="00E334E1">
        <w:rPr>
          <w:rFonts w:ascii="Times New Roman" w:eastAsia="Calibri" w:hAnsi="Times New Roman" w:cs="Times New Roman"/>
          <w:snapToGrid w:val="0"/>
          <w:sz w:val="28"/>
          <w:szCs w:val="28"/>
        </w:rPr>
        <w:t>5.2 «</w:t>
      </w:r>
      <w:r w:rsidRPr="00E334E1">
        <w:rPr>
          <w:rFonts w:ascii="Times New Roman" w:eastAsia="Calibri" w:hAnsi="Times New Roman" w:cs="Times New Roman"/>
          <w:sz w:val="28"/>
          <w:szCs w:val="28"/>
        </w:rPr>
        <w:t>Проектные предложения (требования) и градостроительные решения» изложить в следующей редакции:</w:t>
      </w:r>
    </w:p>
    <w:p w14:paraId="15CBC9E7" w14:textId="77777777" w:rsidR="00FA2526" w:rsidRPr="00D87997" w:rsidRDefault="00FA2526" w:rsidP="00FA2526">
      <w:pPr>
        <w:widowControl w:val="0"/>
        <w:tabs>
          <w:tab w:val="left" w:pos="1134"/>
        </w:tabs>
        <w:spacing w:after="0" w:line="240" w:lineRule="auto"/>
        <w:ind w:firstLine="700"/>
        <w:jc w:val="both"/>
        <w:rPr>
          <w:rFonts w:ascii="Times New Roman" w:eastAsia="Calibri" w:hAnsi="Times New Roman" w:cs="Times New Roman"/>
          <w:sz w:val="28"/>
          <w:szCs w:val="28"/>
        </w:rPr>
      </w:pPr>
      <w:r w:rsidRPr="00E334E1">
        <w:rPr>
          <w:rFonts w:ascii="Times New Roman" w:eastAsia="Calibri" w:hAnsi="Times New Roman" w:cs="Times New Roman"/>
          <w:sz w:val="28"/>
          <w:szCs w:val="28"/>
        </w:rPr>
        <w:t>«Нормативное время прибытия подразделений пожарной охраны, на сегодняшний день, не установлено, так как нормативный документ, на основании которого определяется время следования мобильных средств пожаротушения из ближайшего пожарного депо, отсутствует.».</w:t>
      </w:r>
    </w:p>
    <w:p w14:paraId="20ECEAB5" w14:textId="77777777" w:rsidR="00DB479D" w:rsidRPr="00FA2526" w:rsidRDefault="00000000" w:rsidP="00FA2526"/>
    <w:sectPr w:rsidR="00DB479D" w:rsidRPr="00FA2526">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CF45" w14:textId="77777777" w:rsidR="00531D75" w:rsidRDefault="00531D75">
      <w:pPr>
        <w:spacing w:after="0" w:line="240" w:lineRule="auto"/>
      </w:pPr>
      <w:r>
        <w:separator/>
      </w:r>
    </w:p>
  </w:endnote>
  <w:endnote w:type="continuationSeparator" w:id="0">
    <w:p w14:paraId="36B7445D" w14:textId="77777777" w:rsidR="00531D75" w:rsidRDefault="00531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D494" w14:textId="77777777" w:rsidR="00531D75" w:rsidRDefault="00531D75">
      <w:pPr>
        <w:spacing w:after="0" w:line="240" w:lineRule="auto"/>
      </w:pPr>
      <w:r>
        <w:separator/>
      </w:r>
    </w:p>
  </w:footnote>
  <w:footnote w:type="continuationSeparator" w:id="0">
    <w:p w14:paraId="36741FBB" w14:textId="77777777" w:rsidR="00531D75" w:rsidRDefault="00531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4827269"/>
      <w:docPartObj>
        <w:docPartGallery w:val="Page Numbers (Top of Page)"/>
        <w:docPartUnique/>
      </w:docPartObj>
    </w:sdtPr>
    <w:sdtEndPr>
      <w:rPr>
        <w:rFonts w:ascii="Times New Roman" w:hAnsi="Times New Roman" w:cs="Times New Roman"/>
        <w:sz w:val="24"/>
        <w:szCs w:val="24"/>
      </w:rPr>
    </w:sdtEndPr>
    <w:sdtContent>
      <w:p w14:paraId="2A3F14B9" w14:textId="77777777" w:rsidR="003D23F6" w:rsidRPr="002501ED" w:rsidRDefault="00FA2526">
        <w:pPr>
          <w:pStyle w:val="a3"/>
          <w:jc w:val="center"/>
          <w:rPr>
            <w:rFonts w:ascii="Times New Roman" w:hAnsi="Times New Roman" w:cs="Times New Roman"/>
            <w:sz w:val="24"/>
            <w:szCs w:val="24"/>
          </w:rPr>
        </w:pPr>
        <w:r w:rsidRPr="002501ED">
          <w:rPr>
            <w:rFonts w:ascii="Times New Roman" w:hAnsi="Times New Roman" w:cs="Times New Roman"/>
            <w:sz w:val="24"/>
            <w:szCs w:val="24"/>
          </w:rPr>
          <w:fldChar w:fldCharType="begin"/>
        </w:r>
        <w:r w:rsidRPr="002501ED">
          <w:rPr>
            <w:rFonts w:ascii="Times New Roman" w:hAnsi="Times New Roman" w:cs="Times New Roman"/>
            <w:sz w:val="24"/>
            <w:szCs w:val="24"/>
          </w:rPr>
          <w:instrText>PAGE   \* MERGEFORMAT</w:instrText>
        </w:r>
        <w:r w:rsidRPr="002501ED">
          <w:rPr>
            <w:rFonts w:ascii="Times New Roman" w:hAnsi="Times New Roman" w:cs="Times New Roman"/>
            <w:sz w:val="24"/>
            <w:szCs w:val="24"/>
          </w:rPr>
          <w:fldChar w:fldCharType="separate"/>
        </w:r>
        <w:r>
          <w:rPr>
            <w:rFonts w:ascii="Times New Roman" w:hAnsi="Times New Roman" w:cs="Times New Roman"/>
            <w:noProof/>
            <w:sz w:val="24"/>
            <w:szCs w:val="24"/>
          </w:rPr>
          <w:t>46</w:t>
        </w:r>
        <w:r w:rsidRPr="002501ED">
          <w:rPr>
            <w:rFonts w:ascii="Times New Roman" w:hAnsi="Times New Roman" w:cs="Times New Roman"/>
            <w:sz w:val="24"/>
            <w:szCs w:val="24"/>
          </w:rPr>
          <w:fldChar w:fldCharType="end"/>
        </w:r>
      </w:p>
    </w:sdtContent>
  </w:sdt>
  <w:p w14:paraId="510ACF1A" w14:textId="77777777" w:rsidR="003D23F6"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B235D"/>
    <w:multiLevelType w:val="hybridMultilevel"/>
    <w:tmpl w:val="6ED8B790"/>
    <w:lvl w:ilvl="0" w:tplc="ABB600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674C15C8"/>
    <w:multiLevelType w:val="multilevel"/>
    <w:tmpl w:val="8DC08E1A"/>
    <w:lvl w:ilvl="0">
      <w:start w:val="1"/>
      <w:numFmt w:val="decimal"/>
      <w:lvlText w:val="%1."/>
      <w:lvlJc w:val="center"/>
      <w:pPr>
        <w:ind w:left="720" w:hanging="49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21303710">
    <w:abstractNumId w:val="1"/>
  </w:num>
  <w:num w:numId="2" w16cid:durableId="1147624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E61"/>
    <w:rsid w:val="00181670"/>
    <w:rsid w:val="00526ACA"/>
    <w:rsid w:val="00531D75"/>
    <w:rsid w:val="00B13A4D"/>
    <w:rsid w:val="00CA7AFC"/>
    <w:rsid w:val="00E334E1"/>
    <w:rsid w:val="00F43E61"/>
    <w:rsid w:val="00FA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D309A"/>
  <w15:chartTrackingRefBased/>
  <w15:docId w15:val="{42810758-5132-4F31-AEA3-DC08B634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5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181670"/>
    <w:pPr>
      <w:tabs>
        <w:tab w:val="center" w:pos="4677"/>
        <w:tab w:val="right" w:pos="9355"/>
      </w:tabs>
      <w:spacing w:after="0" w:line="240" w:lineRule="auto"/>
    </w:pPr>
  </w:style>
  <w:style w:type="character" w:customStyle="1" w:styleId="a4">
    <w:name w:val="Верхний колонтитул Знак"/>
    <w:aliases w:val="ВерхКолонтитул Знак"/>
    <w:basedOn w:val="a0"/>
    <w:link w:val="a3"/>
    <w:uiPriority w:val="99"/>
    <w:rsid w:val="00181670"/>
  </w:style>
  <w:style w:type="paragraph" w:styleId="a5">
    <w:name w:val="caption"/>
    <w:aliases w:val="Название объекта Знак1,Название объекта Знак Знак,рисунка,Таблица название,Таблица_номер_справа_12"/>
    <w:basedOn w:val="a"/>
    <w:link w:val="a6"/>
    <w:uiPriority w:val="35"/>
    <w:qFormat/>
    <w:rsid w:val="00181670"/>
    <w:pPr>
      <w:spacing w:after="0" w:line="240" w:lineRule="auto"/>
      <w:jc w:val="center"/>
    </w:pPr>
    <w:rPr>
      <w:rFonts w:ascii="Times New Roman" w:eastAsia="Times New Roman" w:hAnsi="Times New Roman" w:cs="Times New Roman"/>
      <w:sz w:val="28"/>
      <w:szCs w:val="20"/>
      <w:lang w:eastAsia="ru-RU"/>
    </w:rPr>
  </w:style>
  <w:style w:type="character" w:customStyle="1" w:styleId="a6">
    <w:name w:val="Название объекта Знак"/>
    <w:aliases w:val="Название объекта Знак1 Знак,Название объекта Знак Знак Знак,рисунка Знак,Таблица название Знак,Таблица_номер_справа_12 Знак"/>
    <w:link w:val="a5"/>
    <w:rsid w:val="00181670"/>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181670"/>
    <w:pPr>
      <w:ind w:left="720"/>
      <w:contextualSpacing/>
    </w:pPr>
  </w:style>
  <w:style w:type="paragraph" w:styleId="a9">
    <w:name w:val="Body Text Indent"/>
    <w:basedOn w:val="a"/>
    <w:link w:val="aa"/>
    <w:rsid w:val="00181670"/>
    <w:pPr>
      <w:spacing w:after="120" w:line="360" w:lineRule="auto"/>
      <w:ind w:left="283" w:firstLine="709"/>
      <w:jc w:val="both"/>
    </w:pPr>
    <w:rPr>
      <w:rFonts w:ascii="Times New Roman" w:eastAsia="Times New Roman" w:hAnsi="Times New Roman" w:cs="Times New Roman"/>
      <w:kern w:val="2"/>
      <w:sz w:val="24"/>
      <w:szCs w:val="24"/>
    </w:rPr>
  </w:style>
  <w:style w:type="character" w:customStyle="1" w:styleId="aa">
    <w:name w:val="Основной текст с отступом Знак"/>
    <w:basedOn w:val="a0"/>
    <w:link w:val="a9"/>
    <w:rsid w:val="00181670"/>
    <w:rPr>
      <w:rFonts w:ascii="Times New Roman" w:eastAsia="Times New Roman" w:hAnsi="Times New Roman" w:cs="Times New Roman"/>
      <w:kern w:val="2"/>
      <w:sz w:val="24"/>
      <w:szCs w:val="24"/>
    </w:rPr>
  </w:style>
  <w:style w:type="paragraph" w:styleId="ab">
    <w:name w:val="Plain Text"/>
    <w:basedOn w:val="a"/>
    <w:link w:val="ac"/>
    <w:rsid w:val="00181670"/>
    <w:pPr>
      <w:spacing w:after="0" w:line="240" w:lineRule="auto"/>
    </w:pPr>
    <w:rPr>
      <w:rFonts w:ascii="Courier New" w:eastAsia="Times New Roman" w:hAnsi="Courier New" w:cs="Times New Roman"/>
      <w:sz w:val="20"/>
      <w:szCs w:val="20"/>
      <w:lang w:val="x-none" w:eastAsia="ru-RU"/>
    </w:rPr>
  </w:style>
  <w:style w:type="character" w:customStyle="1" w:styleId="ac">
    <w:name w:val="Текст Знак"/>
    <w:basedOn w:val="a0"/>
    <w:link w:val="ab"/>
    <w:rsid w:val="00181670"/>
    <w:rPr>
      <w:rFonts w:ascii="Courier New" w:eastAsia="Times New Roman" w:hAnsi="Courier New" w:cs="Times New Roman"/>
      <w:sz w:val="20"/>
      <w:szCs w:val="20"/>
      <w:lang w:val="x-none" w:eastAsia="ru-RU"/>
    </w:rPr>
  </w:style>
  <w:style w:type="paragraph" w:styleId="3">
    <w:name w:val="Body Text Indent 3"/>
    <w:basedOn w:val="a"/>
    <w:link w:val="30"/>
    <w:uiPriority w:val="99"/>
    <w:rsid w:val="00181670"/>
    <w:pPr>
      <w:spacing w:after="120" w:line="240" w:lineRule="auto"/>
      <w:ind w:left="283"/>
    </w:pPr>
    <w:rPr>
      <w:rFonts w:ascii="Times New Roman" w:eastAsia="Times New Roman" w:hAnsi="Times New Roman" w:cs="Times New Roman"/>
      <w:sz w:val="16"/>
      <w:szCs w:val="16"/>
      <w:lang w:val="x-none" w:eastAsia="ru-RU"/>
    </w:rPr>
  </w:style>
  <w:style w:type="character" w:customStyle="1" w:styleId="30">
    <w:name w:val="Основной текст с отступом 3 Знак"/>
    <w:basedOn w:val="a0"/>
    <w:link w:val="3"/>
    <w:uiPriority w:val="99"/>
    <w:rsid w:val="00181670"/>
    <w:rPr>
      <w:rFonts w:ascii="Times New Roman" w:eastAsia="Times New Roman" w:hAnsi="Times New Roman" w:cs="Times New Roman"/>
      <w:sz w:val="16"/>
      <w:szCs w:val="16"/>
      <w:lang w:val="x-none" w:eastAsia="ru-RU"/>
    </w:rPr>
  </w:style>
  <w:style w:type="table" w:styleId="ad">
    <w:name w:val="Table Grid"/>
    <w:basedOn w:val="a1"/>
    <w:uiPriority w:val="39"/>
    <w:rsid w:val="001816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аголовок статьи"/>
    <w:basedOn w:val="a"/>
    <w:next w:val="a"/>
    <w:rsid w:val="00181670"/>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character" w:customStyle="1" w:styleId="a8">
    <w:name w:val="Абзац списка Знак"/>
    <w:link w:val="a7"/>
    <w:uiPriority w:val="34"/>
    <w:locked/>
    <w:rsid w:val="00181670"/>
  </w:style>
  <w:style w:type="paragraph" w:styleId="31">
    <w:name w:val="Body Text 3"/>
    <w:basedOn w:val="a"/>
    <w:link w:val="32"/>
    <w:uiPriority w:val="99"/>
    <w:semiHidden/>
    <w:unhideWhenUsed/>
    <w:rsid w:val="00181670"/>
    <w:pPr>
      <w:spacing w:after="120"/>
    </w:pPr>
    <w:rPr>
      <w:sz w:val="16"/>
      <w:szCs w:val="16"/>
    </w:rPr>
  </w:style>
  <w:style w:type="character" w:customStyle="1" w:styleId="32">
    <w:name w:val="Основной текст 3 Знак"/>
    <w:basedOn w:val="a0"/>
    <w:link w:val="31"/>
    <w:uiPriority w:val="99"/>
    <w:semiHidden/>
    <w:rsid w:val="0018167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9388</Words>
  <Characters>53517</Characters>
  <Application>Microsoft Office Word</Application>
  <DocSecurity>0</DocSecurity>
  <Lines>445</Lines>
  <Paragraphs>125</Paragraphs>
  <ScaleCrop>false</ScaleCrop>
  <Company/>
  <LinksUpToDate>false</LinksUpToDate>
  <CharactersWithSpaces>62780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ОБУ ИНФОГРАД</dc:creator>
  <cp:keywords/>
  <dc:description/>
  <cp:lastModifiedBy>user</cp:lastModifiedBy>
  <cp:revision>4</cp:revision>
  <dcterms:created xsi:type="dcterms:W3CDTF">2022-08-05T09:44:00Z</dcterms:created>
  <dcterms:modified xsi:type="dcterms:W3CDTF">2022-08-12T14:02:00Z</dcterms:modified>
</cp:coreProperties>
</file>